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CC4585" w14:textId="03C23D67" w:rsidR="00F00849" w:rsidRDefault="00000000">
      <w:pPr>
        <w:pBdr>
          <w:top w:val="nil"/>
          <w:left w:val="nil"/>
          <w:bottom w:val="nil"/>
          <w:right w:val="nil"/>
          <w:between w:val="nil"/>
        </w:pBdr>
        <w:tabs>
          <w:tab w:val="center" w:pos="4252"/>
          <w:tab w:val="right" w:pos="8504"/>
          <w:tab w:val="right" w:pos="9781"/>
        </w:tabs>
        <w:spacing w:after="0"/>
        <w:ind w:right="-58"/>
        <w:rPr>
          <w:rFonts w:ascii="Arial" w:eastAsia="Arial" w:hAnsi="Arial" w:cs="Arial"/>
          <w:b/>
          <w:color w:val="000000"/>
          <w:sz w:val="24"/>
          <w:szCs w:val="24"/>
        </w:rPr>
      </w:pPr>
      <w:r>
        <w:rPr>
          <w:rFonts w:ascii="Arial" w:eastAsia="Arial" w:hAnsi="Arial" w:cs="Arial"/>
          <w:b/>
          <w:color w:val="000000"/>
          <w:sz w:val="24"/>
          <w:szCs w:val="24"/>
        </w:rPr>
        <w:t>3GPP TSG RAN WG4 #106 BIS-e meeting</w:t>
      </w:r>
      <w:r>
        <w:rPr>
          <w:rFonts w:ascii="Arial" w:eastAsia="Arial" w:hAnsi="Arial" w:cs="Arial"/>
          <w:b/>
          <w:color w:val="000000"/>
        </w:rPr>
        <w:t xml:space="preserve"> </w:t>
      </w:r>
      <w:r>
        <w:rPr>
          <w:rFonts w:ascii="Arial" w:eastAsia="Arial" w:hAnsi="Arial" w:cs="Arial"/>
          <w:b/>
          <w:color w:val="000000"/>
        </w:rPr>
        <w:tab/>
        <w:t xml:space="preserve"> </w:t>
      </w:r>
      <w:r>
        <w:rPr>
          <w:rFonts w:ascii="Arial" w:eastAsia="Arial" w:hAnsi="Arial" w:cs="Arial"/>
          <w:b/>
          <w:color w:val="000000"/>
          <w:sz w:val="24"/>
          <w:szCs w:val="24"/>
        </w:rPr>
        <w:t>R4-23</w:t>
      </w:r>
      <w:r w:rsidR="00AC0FF2">
        <w:rPr>
          <w:rFonts w:ascii="Arial" w:eastAsia="Arial" w:hAnsi="Arial" w:cs="Arial"/>
          <w:b/>
          <w:color w:val="000000"/>
          <w:sz w:val="24"/>
          <w:szCs w:val="24"/>
        </w:rPr>
        <w:t>04185</w:t>
      </w:r>
    </w:p>
    <w:p w14:paraId="6C93C1DA" w14:textId="77777777" w:rsidR="00F00849" w:rsidRDefault="00000000">
      <w:pPr>
        <w:rPr>
          <w:rFonts w:ascii="Arial" w:eastAsia="Arial" w:hAnsi="Arial" w:cs="Arial"/>
          <w:b/>
          <w:sz w:val="24"/>
          <w:szCs w:val="24"/>
        </w:rPr>
      </w:pPr>
      <w:r>
        <w:rPr>
          <w:rFonts w:ascii="Arial" w:eastAsia="Arial" w:hAnsi="Arial" w:cs="Arial"/>
          <w:b/>
          <w:sz w:val="24"/>
          <w:szCs w:val="24"/>
        </w:rPr>
        <w:t>Electronic Meeting, 17</w:t>
      </w:r>
      <w:r>
        <w:rPr>
          <w:rFonts w:ascii="Arial" w:eastAsia="Arial" w:hAnsi="Arial" w:cs="Arial"/>
          <w:b/>
          <w:sz w:val="24"/>
          <w:szCs w:val="24"/>
          <w:vertAlign w:val="superscript"/>
        </w:rPr>
        <w:t>th</w:t>
      </w:r>
      <w:r>
        <w:rPr>
          <w:rFonts w:ascii="Arial" w:eastAsia="Arial" w:hAnsi="Arial" w:cs="Arial"/>
          <w:b/>
          <w:sz w:val="24"/>
          <w:szCs w:val="24"/>
        </w:rPr>
        <w:t xml:space="preserve"> – 26</w:t>
      </w:r>
      <w:r>
        <w:rPr>
          <w:rFonts w:ascii="Arial" w:eastAsia="Arial" w:hAnsi="Arial" w:cs="Arial"/>
          <w:b/>
          <w:sz w:val="24"/>
          <w:szCs w:val="24"/>
          <w:vertAlign w:val="superscript"/>
        </w:rPr>
        <w:t>th</w:t>
      </w:r>
      <w:r>
        <w:rPr>
          <w:rFonts w:ascii="Arial" w:eastAsia="Arial" w:hAnsi="Arial" w:cs="Arial"/>
          <w:b/>
          <w:sz w:val="24"/>
          <w:szCs w:val="24"/>
        </w:rPr>
        <w:t xml:space="preserve"> April, 2023</w:t>
      </w:r>
    </w:p>
    <w:p w14:paraId="7B80AD6C" w14:textId="77777777" w:rsidR="00F00849" w:rsidRDefault="00F00849">
      <w:pPr>
        <w:rPr>
          <w:rFonts w:ascii="Arial" w:eastAsia="Arial" w:hAnsi="Arial" w:cs="Arial"/>
          <w:b/>
          <w:color w:val="000000"/>
          <w:sz w:val="24"/>
          <w:szCs w:val="24"/>
        </w:rPr>
      </w:pPr>
    </w:p>
    <w:p w14:paraId="1289F15D" w14:textId="77777777"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Agenda Item:</w:t>
      </w:r>
      <w:r>
        <w:rPr>
          <w:rFonts w:ascii="Arial" w:eastAsia="Arial" w:hAnsi="Arial" w:cs="Arial"/>
          <w:b/>
          <w:color w:val="000000"/>
          <w:sz w:val="20"/>
          <w:szCs w:val="20"/>
        </w:rPr>
        <w:tab/>
        <w:t>5.31.2.3</w:t>
      </w:r>
    </w:p>
    <w:p w14:paraId="50FD2A44" w14:textId="77777777" w:rsidR="00F00849" w:rsidRDefault="00000000">
      <w:pPr>
        <w:pStyle w:val="3"/>
        <w:tabs>
          <w:tab w:val="left" w:pos="360"/>
          <w:tab w:val="left" w:pos="1710"/>
        </w:tabs>
        <w:rPr>
          <w:rFonts w:ascii="Arial" w:eastAsia="Arial" w:hAnsi="Arial" w:cs="Arial"/>
          <w:b/>
          <w:color w:val="000000"/>
          <w:sz w:val="20"/>
          <w:szCs w:val="20"/>
        </w:rPr>
      </w:pPr>
      <w:r>
        <w:rPr>
          <w:rFonts w:ascii="Arial" w:eastAsia="Arial" w:hAnsi="Arial" w:cs="Arial"/>
          <w:b/>
          <w:color w:val="000000"/>
          <w:sz w:val="20"/>
          <w:szCs w:val="20"/>
        </w:rPr>
        <w:t>Source:</w:t>
      </w:r>
      <w:r>
        <w:rPr>
          <w:rFonts w:ascii="Arial" w:eastAsia="Arial" w:hAnsi="Arial" w:cs="Arial"/>
          <w:b/>
          <w:color w:val="000000"/>
          <w:sz w:val="20"/>
          <w:szCs w:val="20"/>
        </w:rPr>
        <w:tab/>
        <w:t>Meta Ireland</w:t>
      </w:r>
    </w:p>
    <w:p w14:paraId="1B4B565C" w14:textId="1E777E27" w:rsidR="00F00849" w:rsidRDefault="00000000" w:rsidP="00AC0FF2">
      <w:pPr>
        <w:pStyle w:val="3"/>
        <w:tabs>
          <w:tab w:val="left" w:pos="360"/>
          <w:tab w:val="left" w:pos="1710"/>
        </w:tabs>
        <w:ind w:left="1710" w:hanging="1710"/>
        <w:rPr>
          <w:rFonts w:ascii="Arial" w:eastAsia="Arial" w:hAnsi="Arial" w:cs="Arial"/>
          <w:b/>
          <w:color w:val="000000"/>
          <w:sz w:val="20"/>
          <w:szCs w:val="20"/>
        </w:rPr>
      </w:pPr>
      <w:r>
        <w:rPr>
          <w:rFonts w:ascii="Arial" w:eastAsia="Arial" w:hAnsi="Arial" w:cs="Arial"/>
          <w:b/>
          <w:color w:val="000000"/>
          <w:sz w:val="20"/>
          <w:szCs w:val="20"/>
        </w:rPr>
        <w:t>Title:</w:t>
      </w:r>
      <w:r>
        <w:rPr>
          <w:rFonts w:ascii="Arial" w:eastAsia="Arial" w:hAnsi="Arial" w:cs="Arial"/>
          <w:b/>
          <w:color w:val="000000"/>
          <w:sz w:val="20"/>
          <w:szCs w:val="20"/>
        </w:rPr>
        <w:tab/>
      </w:r>
      <w:r w:rsidR="00AC0FF2">
        <w:rPr>
          <w:rFonts w:ascii="Arial" w:eastAsia="Arial" w:hAnsi="Arial" w:cs="Arial"/>
          <w:b/>
          <w:color w:val="000000"/>
          <w:sz w:val="20"/>
          <w:szCs w:val="20"/>
        </w:rPr>
        <w:t>Consideration on example RF architecture</w:t>
      </w:r>
      <w:r w:rsidR="00F81A81">
        <w:rPr>
          <w:rFonts w:ascii="Arial" w:eastAsia="Arial" w:hAnsi="Arial" w:cs="Arial"/>
          <w:b/>
          <w:color w:val="000000"/>
          <w:sz w:val="20"/>
          <w:szCs w:val="20"/>
        </w:rPr>
        <w:t>s</w:t>
      </w:r>
      <w:r w:rsidR="00AC0FF2">
        <w:rPr>
          <w:rFonts w:ascii="Arial" w:eastAsia="Arial" w:hAnsi="Arial" w:cs="Arial"/>
          <w:b/>
          <w:color w:val="000000"/>
          <w:sz w:val="20"/>
          <w:szCs w:val="20"/>
        </w:rPr>
        <w:t xml:space="preserve"> and MPR</w:t>
      </w:r>
      <w:r w:rsidR="00F81A81">
        <w:rPr>
          <w:rFonts w:ascii="Arial" w:eastAsia="Arial" w:hAnsi="Arial" w:cs="Arial"/>
          <w:b/>
          <w:color w:val="000000"/>
          <w:sz w:val="20"/>
          <w:szCs w:val="20"/>
        </w:rPr>
        <w:t>/A-MPR</w:t>
      </w:r>
      <w:r w:rsidR="00AC0FF2">
        <w:rPr>
          <w:rFonts w:ascii="Arial" w:eastAsia="Arial" w:hAnsi="Arial" w:cs="Arial"/>
          <w:b/>
          <w:color w:val="000000"/>
          <w:sz w:val="20"/>
          <w:szCs w:val="20"/>
        </w:rPr>
        <w:t xml:space="preserve"> assumptions for </w:t>
      </w:r>
      <w:r>
        <w:rPr>
          <w:rFonts w:ascii="Arial" w:eastAsia="Arial" w:hAnsi="Arial" w:cs="Arial"/>
          <w:b/>
          <w:color w:val="000000"/>
          <w:sz w:val="20"/>
          <w:szCs w:val="20"/>
        </w:rPr>
        <w:t>Intra-band contiguous SL CA in band n47</w:t>
      </w:r>
    </w:p>
    <w:p w14:paraId="343CD13A" w14:textId="77777777" w:rsidR="00F00849" w:rsidRDefault="00000000">
      <w:pPr>
        <w:pBdr>
          <w:bottom w:val="single" w:sz="6" w:space="1" w:color="000000"/>
        </w:pBdr>
        <w:tabs>
          <w:tab w:val="left" w:pos="1710"/>
        </w:tabs>
        <w:rPr>
          <w:b/>
          <w:color w:val="000000"/>
          <w:sz w:val="20"/>
          <w:szCs w:val="20"/>
        </w:rPr>
      </w:pPr>
      <w:bookmarkStart w:id="0" w:name="_heading=h.gjdgxs" w:colFirst="0" w:colLast="0"/>
      <w:bookmarkEnd w:id="0"/>
      <w:r>
        <w:rPr>
          <w:rFonts w:ascii="Arial" w:eastAsia="Arial" w:hAnsi="Arial" w:cs="Arial"/>
          <w:b/>
          <w:color w:val="000000"/>
          <w:sz w:val="20"/>
          <w:szCs w:val="20"/>
        </w:rPr>
        <w:t>Document for:</w:t>
      </w:r>
      <w:r>
        <w:rPr>
          <w:rFonts w:ascii="Arial" w:eastAsia="Arial" w:hAnsi="Arial" w:cs="Arial"/>
          <w:b/>
          <w:color w:val="000000"/>
          <w:sz w:val="20"/>
          <w:szCs w:val="20"/>
        </w:rPr>
        <w:tab/>
        <w:t>Approval</w:t>
      </w:r>
    </w:p>
    <w:p w14:paraId="1C3374B1" w14:textId="77777777" w:rsidR="00F00849" w:rsidRDefault="00000000">
      <w:pPr>
        <w:pStyle w:val="1"/>
        <w:numPr>
          <w:ilvl w:val="0"/>
          <w:numId w:val="7"/>
        </w:numPr>
        <w:spacing w:before="240"/>
        <w:ind w:left="270" w:hanging="270"/>
      </w:pPr>
      <w:r>
        <w:t>Introduction</w:t>
      </w:r>
    </w:p>
    <w:p w14:paraId="7D105CE0" w14:textId="77777777" w:rsidR="00F00849" w:rsidRDefault="00000000">
      <w:pPr>
        <w:rPr>
          <w:rFonts w:ascii="Times" w:eastAsia="Times" w:hAnsi="Times" w:cs="Times"/>
        </w:rPr>
      </w:pPr>
      <w:r>
        <w:t>In RAN #99 meeting, the WF on NR SL evolution objectives were discussed [1][2] to support NR SL CA operation in band n47 band</w:t>
      </w:r>
      <w:r>
        <w:rPr>
          <w:rFonts w:ascii="Times" w:eastAsia="Times" w:hAnsi="Times" w:cs="Times"/>
        </w:rPr>
        <w:t>. Based on the updated NR SL evolution WID [1], RAN4 needs to support the NR SL intra-band contiguous CA operation in mode 2 operation in band n47 band as follows.</w:t>
      </w:r>
    </w:p>
    <w:p w14:paraId="77C7EE83" w14:textId="77777777" w:rsidR="00F00849" w:rsidRDefault="00F00849">
      <w:pPr>
        <w:spacing w:after="0"/>
      </w:pPr>
    </w:p>
    <w:tbl>
      <w:tblPr>
        <w:tblStyle w:val="aff2"/>
        <w:tblW w:w="9019"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019"/>
      </w:tblGrid>
      <w:tr w:rsidR="00F00849" w14:paraId="36323463" w14:textId="77777777">
        <w:tc>
          <w:tcPr>
            <w:tcW w:w="9019" w:type="dxa"/>
          </w:tcPr>
          <w:p w14:paraId="4C162295" w14:textId="77777777" w:rsidR="00F00849" w:rsidRDefault="00000000">
            <w:pPr>
              <w:pStyle w:val="3"/>
              <w:numPr>
                <w:ilvl w:val="1"/>
                <w:numId w:val="4"/>
              </w:numPr>
              <w:spacing w:after="0"/>
              <w:ind w:left="576" w:hanging="576"/>
              <w:rPr>
                <w:color w:val="0000FF"/>
              </w:rPr>
            </w:pPr>
            <w:bookmarkStart w:id="1" w:name="_heading=h.30j0zll" w:colFirst="0" w:colLast="0"/>
            <w:bookmarkEnd w:id="1"/>
            <w:r>
              <w:rPr>
                <w:color w:val="0000FF"/>
              </w:rPr>
              <w:t xml:space="preserve">Objective of SI or Core part WI or Testing part WI </w:t>
            </w:r>
            <w:r>
              <w:rPr>
                <w:b/>
              </w:rPr>
              <w:t>(in [1])</w:t>
            </w:r>
          </w:p>
          <w:p w14:paraId="083985E0" w14:textId="77777777" w:rsidR="00F00849" w:rsidRPr="00AC0FF2" w:rsidRDefault="00000000">
            <w:pPr>
              <w:widowControl/>
              <w:numPr>
                <w:ilvl w:val="0"/>
                <w:numId w:val="1"/>
              </w:numPr>
              <w:spacing w:after="0"/>
              <w:ind w:left="426" w:hanging="284"/>
              <w:jc w:val="left"/>
              <w:rPr>
                <w:rFonts w:ascii="Times" w:eastAsia="Times" w:hAnsi="Times" w:cs="Times"/>
                <w:highlight w:val="yellow"/>
              </w:rPr>
            </w:pPr>
            <w:r w:rsidRPr="00AC0FF2">
              <w:rPr>
                <w:rFonts w:ascii="Times" w:eastAsia="Times" w:hAnsi="Times" w:cs="Times"/>
                <w:b/>
                <w:highlight w:val="yellow"/>
              </w:rPr>
              <w:t>Specify mechanism to support NR sidelink CA operation</w:t>
            </w:r>
            <w:r w:rsidRPr="00AC0FF2">
              <w:rPr>
                <w:rFonts w:ascii="Times" w:eastAsia="Times" w:hAnsi="Times" w:cs="Times"/>
                <w:highlight w:val="yellow"/>
              </w:rPr>
              <w:t xml:space="preserve"> based on LTE sidelink CA operation </w:t>
            </w:r>
            <w:r w:rsidRPr="00AC0FF2">
              <w:rPr>
                <w:rFonts w:ascii="Times" w:eastAsia="Times" w:hAnsi="Times" w:cs="Times"/>
                <w:b/>
                <w:highlight w:val="yellow"/>
              </w:rPr>
              <w:t>[RAN2, RAN1, RAN4]</w:t>
            </w:r>
          </w:p>
          <w:p w14:paraId="21D18A64" w14:textId="77777777" w:rsidR="00F00849" w:rsidRDefault="00000000">
            <w:pPr>
              <w:widowControl/>
              <w:numPr>
                <w:ilvl w:val="0"/>
                <w:numId w:val="2"/>
              </w:numPr>
              <w:spacing w:after="0"/>
              <w:ind w:left="993" w:hanging="283"/>
              <w:jc w:val="left"/>
              <w:rPr>
                <w:rFonts w:ascii="Times" w:eastAsia="Times" w:hAnsi="Times" w:cs="Times"/>
              </w:rPr>
            </w:pPr>
            <w:r>
              <w:rPr>
                <w:rFonts w:ascii="Times" w:eastAsia="Times" w:hAnsi="Times" w:cs="Times"/>
              </w:rPr>
              <w:t>Support only LTE sidelink CA features for NR (i.e., SL carrier (re-)selection, synchronization of aggregated carriers, power control for simultaneous sidelink TX, packet duplication)</w:t>
            </w:r>
          </w:p>
          <w:p w14:paraId="7EB6D1A7"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The work is limited to intra-band CA for the ITS band in FR1 (Band n47).</w:t>
            </w:r>
          </w:p>
          <w:p w14:paraId="4695DDC4"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No specific enhancements of Rel-17 sidelink features with sidelink CA support.</w:t>
            </w:r>
          </w:p>
          <w:p w14:paraId="7E6989D5"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This feature is backwards compatible in the following regards</w:t>
            </w:r>
          </w:p>
          <w:p w14:paraId="31D9A438" w14:textId="77777777" w:rsidR="00F00849" w:rsidRDefault="00000000">
            <w:pPr>
              <w:widowControl/>
              <w:numPr>
                <w:ilvl w:val="1"/>
                <w:numId w:val="3"/>
              </w:numPr>
              <w:spacing w:before="60" w:after="60"/>
              <w:ind w:left="1418" w:hanging="284"/>
              <w:jc w:val="left"/>
              <w:rPr>
                <w:rFonts w:ascii="Times" w:eastAsia="Times" w:hAnsi="Times" w:cs="Times"/>
              </w:rPr>
            </w:pPr>
            <w:bookmarkStart w:id="2" w:name="_heading=h.26in1rg" w:colFirst="0" w:colLast="0"/>
            <w:bookmarkEnd w:id="2"/>
            <w:r>
              <w:rPr>
                <w:rFonts w:ascii="Times" w:eastAsia="Times" w:hAnsi="Times" w:cs="Times"/>
              </w:rPr>
              <w:t>A Rel-16/Rel-17 UE can receive Rel-18 sidelink broadcast/groupcast transmissions with CA for the carrier on which it receives PSCCH/PSSCH and transmits the corresponding sidelink HARQ feedback (when SL-HARQ is enabled in SCI)</w:t>
            </w:r>
          </w:p>
          <w:p w14:paraId="057DCB4B"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Only Mode 2 operation</w:t>
            </w:r>
          </w:p>
          <w:p w14:paraId="45ECB2A5"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Same subcarrier spacing (SCS) among CA carriers to avoid resource selection enhancements and AGC issues</w:t>
            </w:r>
          </w:p>
          <w:p w14:paraId="248E38D6" w14:textId="77777777" w:rsidR="00F00849" w:rsidRDefault="00000000">
            <w:pPr>
              <w:widowControl/>
              <w:numPr>
                <w:ilvl w:val="1"/>
                <w:numId w:val="3"/>
              </w:numPr>
              <w:spacing w:before="60" w:after="60"/>
              <w:jc w:val="left"/>
              <w:rPr>
                <w:rFonts w:ascii="Times" w:eastAsia="Times" w:hAnsi="Times" w:cs="Times"/>
              </w:rPr>
            </w:pPr>
            <w:r>
              <w:rPr>
                <w:rFonts w:ascii="Times" w:eastAsia="Times" w:hAnsi="Times" w:cs="Times"/>
              </w:rPr>
              <w:t>Time resources for PSFCH are aligned among the carriers for CA</w:t>
            </w:r>
          </w:p>
          <w:p w14:paraId="7F273BDC"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No enhancement related to SCI transmissions on PSCCH/PSSCH, PSFCH transmission, RSRP feedback, CSI feedback and congestion control compared to Rel-16 (i.e., per-carrier operation)</w:t>
            </w:r>
          </w:p>
          <w:p w14:paraId="1F306A20" w14:textId="77777777" w:rsidR="00F00849" w:rsidRDefault="00000000">
            <w:pPr>
              <w:widowControl/>
              <w:numPr>
                <w:ilvl w:val="1"/>
                <w:numId w:val="3"/>
              </w:numPr>
              <w:spacing w:before="60" w:after="60"/>
              <w:jc w:val="left"/>
              <w:rPr>
                <w:rFonts w:ascii="Times" w:eastAsia="Times" w:hAnsi="Times" w:cs="Times"/>
              </w:rPr>
            </w:pPr>
            <w:r>
              <w:rPr>
                <w:rFonts w:ascii="Times" w:eastAsia="Times" w:hAnsi="Times" w:cs="Times"/>
              </w:rPr>
              <w:t>SL resource indication remains to be per-resource pool and per-carrier basis (no cross-carrier scheduling in SCI)</w:t>
            </w:r>
          </w:p>
          <w:p w14:paraId="1F640333" w14:textId="77777777" w:rsidR="00F00849" w:rsidRDefault="00000000">
            <w:pPr>
              <w:widowControl/>
              <w:numPr>
                <w:ilvl w:val="1"/>
                <w:numId w:val="3"/>
              </w:numPr>
              <w:spacing w:before="60" w:after="60"/>
              <w:jc w:val="left"/>
              <w:rPr>
                <w:rFonts w:ascii="Times" w:eastAsia="Times" w:hAnsi="Times" w:cs="Times"/>
              </w:rPr>
            </w:pPr>
            <w:r>
              <w:rPr>
                <w:rFonts w:ascii="Times" w:eastAsia="Times" w:hAnsi="Times" w:cs="Times"/>
              </w:rPr>
              <w:t>UE transmits SL HARQ feedback on the same carrier on which it receives the associated PSSCH</w:t>
            </w:r>
          </w:p>
          <w:p w14:paraId="5ADB907F"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No consideration for limited transmission and reception capability</w:t>
            </w:r>
          </w:p>
          <w:p w14:paraId="3443313A"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No primary/secondary carrier differentiation</w:t>
            </w:r>
          </w:p>
          <w:p w14:paraId="10C456CA"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Reuse the LTE sidelink CA design for the following aspects:</w:t>
            </w:r>
          </w:p>
          <w:p w14:paraId="57423941" w14:textId="77777777" w:rsidR="00F00849" w:rsidRDefault="00000000">
            <w:pPr>
              <w:widowControl/>
              <w:numPr>
                <w:ilvl w:val="1"/>
                <w:numId w:val="3"/>
              </w:numPr>
              <w:spacing w:before="60" w:after="60"/>
              <w:jc w:val="left"/>
              <w:rPr>
                <w:rFonts w:ascii="Times" w:eastAsia="Times" w:hAnsi="Times" w:cs="Times"/>
              </w:rPr>
            </w:pPr>
            <w:r>
              <w:rPr>
                <w:rFonts w:ascii="Times" w:eastAsia="Times" w:hAnsi="Times" w:cs="Times"/>
              </w:rPr>
              <w:t>Sidelink carrier (re-)selection, synchronization of aggregated carriers, Tx power split for simultaneous sidelink transmissions, packet duplication</w:t>
            </w:r>
          </w:p>
          <w:p w14:paraId="229B6375"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The CA band combination work in RAN4 is limited to intra-band contiguous CA in Rel-18.</w:t>
            </w:r>
          </w:p>
          <w:p w14:paraId="3E43481C" w14:textId="77777777" w:rsidR="00F00849" w:rsidRDefault="00000000">
            <w:pPr>
              <w:widowControl/>
              <w:numPr>
                <w:ilvl w:val="0"/>
                <w:numId w:val="3"/>
              </w:numPr>
              <w:spacing w:before="60" w:after="60"/>
              <w:ind w:left="993" w:hanging="283"/>
              <w:jc w:val="left"/>
              <w:rPr>
                <w:rFonts w:ascii="Times" w:eastAsia="Times" w:hAnsi="Times" w:cs="Times"/>
              </w:rPr>
            </w:pPr>
            <w:r>
              <w:rPr>
                <w:rFonts w:ascii="Times" w:eastAsia="Times" w:hAnsi="Times" w:cs="Times"/>
              </w:rPr>
              <w:t>Note: The SL CA work in Rel-18 mainly targets some V2X use cases</w:t>
            </w:r>
          </w:p>
        </w:tc>
      </w:tr>
    </w:tbl>
    <w:p w14:paraId="3F10881E" w14:textId="77777777" w:rsidR="00F00849" w:rsidRDefault="00000000">
      <w:pPr>
        <w:spacing w:after="0"/>
      </w:pPr>
      <w:r>
        <w:t xml:space="preserve"> </w:t>
      </w:r>
    </w:p>
    <w:p w14:paraId="7842ABAE" w14:textId="77777777" w:rsidR="00F00849" w:rsidRDefault="00000000">
      <w:r>
        <w:lastRenderedPageBreak/>
        <w:t>In this paper, we propose the RAN4 RF related scope to support intra-band contiguous SL CA operation in NR band n47.</w:t>
      </w:r>
    </w:p>
    <w:p w14:paraId="30C128AC" w14:textId="77777777" w:rsidR="00F00849" w:rsidRDefault="00F00849">
      <w:pPr>
        <w:spacing w:after="0"/>
        <w:rPr>
          <w:rFonts w:ascii="Times" w:eastAsia="Times" w:hAnsi="Times" w:cs="Times"/>
        </w:rPr>
      </w:pPr>
    </w:p>
    <w:p w14:paraId="7D422F10" w14:textId="77777777" w:rsidR="00F00849" w:rsidRDefault="00000000">
      <w:pPr>
        <w:pStyle w:val="1"/>
        <w:numPr>
          <w:ilvl w:val="0"/>
          <w:numId w:val="7"/>
        </w:numPr>
        <w:spacing w:before="120"/>
        <w:ind w:left="272" w:hanging="272"/>
      </w:pPr>
      <w:r>
        <w:t>Discussion on intra-band contiguous SL CA operation in band n47</w:t>
      </w:r>
    </w:p>
    <w:p w14:paraId="0039B735" w14:textId="77777777" w:rsidR="00F00849" w:rsidRDefault="00000000">
      <w:pPr>
        <w:pStyle w:val="2"/>
        <w:numPr>
          <w:ilvl w:val="1"/>
          <w:numId w:val="5"/>
        </w:numPr>
        <w:spacing w:before="240"/>
        <w:ind w:left="567" w:hanging="567"/>
      </w:pPr>
      <w:r>
        <w:t>RF architecture for NR SL intra-band contiguous CA UE in band n47</w:t>
      </w:r>
    </w:p>
    <w:p w14:paraId="41360F8C" w14:textId="77777777" w:rsidR="00F00849" w:rsidRDefault="00000000">
      <w:pPr>
        <w:pBdr>
          <w:top w:val="nil"/>
          <w:left w:val="nil"/>
          <w:bottom w:val="nil"/>
          <w:right w:val="nil"/>
          <w:between w:val="nil"/>
        </w:pBdr>
        <w:jc w:val="left"/>
        <w:rPr>
          <w:color w:val="000000"/>
        </w:rPr>
      </w:pPr>
      <w:r>
        <w:rPr>
          <w:color w:val="000000"/>
        </w:rPr>
        <w:t xml:space="preserve">The example RF architecture for NR SL intra-band contiguous CA operation in band n47 band can be considered as shown in figure 2-1. The 1LO/1 antenna RF architecture is baseline for intra-band contiguous CA operation in n 47 band and the 2LO/1 antenna RF </w:t>
      </w:r>
      <w:r>
        <w:t>architecture</w:t>
      </w:r>
      <w:r>
        <w:rPr>
          <w:color w:val="000000"/>
        </w:rPr>
        <w:t xml:space="preserve"> can be considered in n47 as UE implementation aspect.</w:t>
      </w:r>
    </w:p>
    <w:p w14:paraId="51FF368A" w14:textId="77777777" w:rsidR="00F00849" w:rsidRDefault="00000000">
      <w:pPr>
        <w:pBdr>
          <w:top w:val="nil"/>
          <w:left w:val="nil"/>
          <w:bottom w:val="nil"/>
          <w:right w:val="nil"/>
          <w:between w:val="nil"/>
        </w:pBdr>
        <w:jc w:val="center"/>
        <w:rPr>
          <w:color w:val="000000"/>
        </w:rPr>
      </w:pPr>
      <w:r>
        <w:rPr>
          <w:noProof/>
          <w:color w:val="000000"/>
        </w:rPr>
        <w:drawing>
          <wp:inline distT="0" distB="0" distL="0" distR="0" wp14:anchorId="6A09B8BE" wp14:editId="12013A6A">
            <wp:extent cx="5723255" cy="1604645"/>
            <wp:effectExtent l="0" t="0" r="0" b="0"/>
            <wp:docPr id="512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8"/>
                    <a:srcRect/>
                    <a:stretch>
                      <a:fillRect/>
                    </a:stretch>
                  </pic:blipFill>
                  <pic:spPr>
                    <a:xfrm>
                      <a:off x="0" y="0"/>
                      <a:ext cx="5723255" cy="1604645"/>
                    </a:xfrm>
                    <a:prstGeom prst="rect">
                      <a:avLst/>
                    </a:prstGeom>
                    <a:ln/>
                  </pic:spPr>
                </pic:pic>
              </a:graphicData>
            </a:graphic>
          </wp:inline>
        </w:drawing>
      </w:r>
    </w:p>
    <w:p w14:paraId="46DC3BB3" w14:textId="77777777" w:rsidR="00F00849" w:rsidRDefault="00000000">
      <w:pPr>
        <w:numPr>
          <w:ilvl w:val="0"/>
          <w:numId w:val="6"/>
        </w:numPr>
        <w:pBdr>
          <w:top w:val="nil"/>
          <w:left w:val="nil"/>
          <w:bottom w:val="nil"/>
          <w:right w:val="nil"/>
          <w:between w:val="nil"/>
        </w:pBdr>
        <w:jc w:val="center"/>
        <w:rPr>
          <w:color w:val="000000"/>
        </w:rPr>
      </w:pPr>
      <w:r>
        <w:rPr>
          <w:color w:val="000000"/>
        </w:rPr>
        <w:t>1 LO /1Ant. RF architecture for NR SL intra-band contiguous CA in band n47</w:t>
      </w:r>
    </w:p>
    <w:p w14:paraId="09EB2DA1" w14:textId="77777777" w:rsidR="00F00849" w:rsidRDefault="00000000">
      <w:pPr>
        <w:pBdr>
          <w:top w:val="nil"/>
          <w:left w:val="nil"/>
          <w:bottom w:val="nil"/>
          <w:right w:val="nil"/>
          <w:between w:val="nil"/>
        </w:pBdr>
        <w:jc w:val="center"/>
        <w:rPr>
          <w:color w:val="000000"/>
        </w:rPr>
      </w:pPr>
      <w:r>
        <w:rPr>
          <w:noProof/>
          <w:color w:val="000000"/>
        </w:rPr>
        <w:drawing>
          <wp:inline distT="0" distB="0" distL="0" distR="0" wp14:anchorId="542AA729" wp14:editId="035BA1A5">
            <wp:extent cx="5727700" cy="1514475"/>
            <wp:effectExtent l="0" t="0" r="0" b="0"/>
            <wp:docPr id="512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9"/>
                    <a:srcRect/>
                    <a:stretch>
                      <a:fillRect/>
                    </a:stretch>
                  </pic:blipFill>
                  <pic:spPr>
                    <a:xfrm>
                      <a:off x="0" y="0"/>
                      <a:ext cx="5727700" cy="1514475"/>
                    </a:xfrm>
                    <a:prstGeom prst="rect">
                      <a:avLst/>
                    </a:prstGeom>
                    <a:ln/>
                  </pic:spPr>
                </pic:pic>
              </a:graphicData>
            </a:graphic>
          </wp:inline>
        </w:drawing>
      </w:r>
    </w:p>
    <w:p w14:paraId="1E4226AC" w14:textId="77777777" w:rsidR="00F00849" w:rsidRDefault="00000000">
      <w:pPr>
        <w:numPr>
          <w:ilvl w:val="0"/>
          <w:numId w:val="6"/>
        </w:numPr>
        <w:pBdr>
          <w:top w:val="nil"/>
          <w:left w:val="nil"/>
          <w:bottom w:val="nil"/>
          <w:right w:val="nil"/>
          <w:between w:val="nil"/>
        </w:pBdr>
        <w:jc w:val="center"/>
        <w:rPr>
          <w:color w:val="000000"/>
        </w:rPr>
      </w:pPr>
      <w:r>
        <w:rPr>
          <w:color w:val="000000"/>
        </w:rPr>
        <w:t>2 LO /1Ant. RF architecture for NR SL intra-band contiguous CA in band n47</w:t>
      </w:r>
    </w:p>
    <w:p w14:paraId="6AD25C43" w14:textId="77777777" w:rsidR="00F00849" w:rsidRDefault="00000000">
      <w:pPr>
        <w:pBdr>
          <w:top w:val="nil"/>
          <w:left w:val="nil"/>
          <w:bottom w:val="nil"/>
          <w:right w:val="nil"/>
          <w:between w:val="nil"/>
        </w:pBdr>
        <w:jc w:val="center"/>
        <w:rPr>
          <w:b/>
          <w:color w:val="000000"/>
          <w:sz w:val="20"/>
          <w:szCs w:val="20"/>
        </w:rPr>
      </w:pPr>
      <w:r>
        <w:rPr>
          <w:b/>
          <w:color w:val="000000"/>
          <w:sz w:val="20"/>
          <w:szCs w:val="20"/>
        </w:rPr>
        <w:t>Figure 2-1: Example RF architectures for NR SL intra-band contiguous CA operation in band n47</w:t>
      </w:r>
    </w:p>
    <w:p w14:paraId="232A76FE" w14:textId="77777777" w:rsidR="00F00849" w:rsidRDefault="00F00849">
      <w:pPr>
        <w:pBdr>
          <w:top w:val="nil"/>
          <w:left w:val="nil"/>
          <w:bottom w:val="nil"/>
          <w:right w:val="nil"/>
          <w:between w:val="nil"/>
        </w:pBdr>
        <w:jc w:val="left"/>
        <w:rPr>
          <w:color w:val="000000"/>
        </w:rPr>
      </w:pPr>
    </w:p>
    <w:p w14:paraId="2F23C378" w14:textId="77777777" w:rsidR="00F00849" w:rsidRDefault="00000000">
      <w:pPr>
        <w:pBdr>
          <w:top w:val="nil"/>
          <w:left w:val="nil"/>
          <w:bottom w:val="nil"/>
          <w:right w:val="nil"/>
          <w:between w:val="nil"/>
        </w:pBdr>
        <w:jc w:val="left"/>
        <w:rPr>
          <w:color w:val="000000"/>
        </w:rPr>
      </w:pPr>
      <w:r>
        <w:rPr>
          <w:color w:val="000000"/>
        </w:rPr>
        <w:t>In the candidate RF architecture, the synchronous CA operation between CC1 and CC2 is allowed in band n47</w:t>
      </w:r>
      <w:r>
        <w:t xml:space="preserve"> same as</w:t>
      </w:r>
      <w:r>
        <w:rPr>
          <w:color w:val="000000"/>
        </w:rPr>
        <w:t xml:space="preserve"> in NR CA operation in TDD band. And NR SL the intra-band contiguous CA UE does not  </w:t>
      </w:r>
      <w:r>
        <w:t>allow</w:t>
      </w:r>
      <w:r>
        <w:rPr>
          <w:color w:val="000000"/>
        </w:rPr>
        <w:t xml:space="preserve"> simultaneous SL-U operation in band n47 based on the approved WID [2]. So RAN4 would not support the simultaneous SL CA and SL-U operation in band 47 in Rel-18. </w:t>
      </w:r>
    </w:p>
    <w:p w14:paraId="0A0E9A3B" w14:textId="77777777" w:rsidR="00F00849" w:rsidRDefault="00000000">
      <w:pPr>
        <w:pBdr>
          <w:top w:val="nil"/>
          <w:left w:val="nil"/>
          <w:bottom w:val="nil"/>
          <w:right w:val="nil"/>
          <w:between w:val="nil"/>
        </w:pBdr>
        <w:jc w:val="left"/>
      </w:pPr>
      <w:r>
        <w:t xml:space="preserve">For the SL-MIMO and Tx diversity of NR SL intra-band contiguous CA UE, this feature can be supported with 2 Tx antenna architecture if discussion time is permitted in the Rel-18 timeline. Also the power class 2 of NR SL intra-band contiguous CA UE can be supported, but these features were not captured in the SL CA objectives. </w:t>
      </w:r>
    </w:p>
    <w:p w14:paraId="6D3F6F6B" w14:textId="77777777" w:rsidR="00F00849" w:rsidRDefault="00000000">
      <w:pPr>
        <w:pBdr>
          <w:top w:val="nil"/>
          <w:left w:val="nil"/>
          <w:bottom w:val="nil"/>
          <w:right w:val="nil"/>
          <w:between w:val="nil"/>
        </w:pBdr>
        <w:jc w:val="left"/>
        <w:rPr>
          <w:color w:val="000000"/>
        </w:rPr>
      </w:pPr>
      <w:r>
        <w:t xml:space="preserve">Hence we propose the additional features can be supported based on RAN4 consensus.   </w:t>
      </w:r>
      <w:r>
        <w:rPr>
          <w:color w:val="000000"/>
        </w:rPr>
        <w:t xml:space="preserve"> </w:t>
      </w:r>
    </w:p>
    <w:p w14:paraId="35A25F99" w14:textId="77777777" w:rsidR="00F00849" w:rsidRDefault="00F00849">
      <w:pPr>
        <w:pBdr>
          <w:top w:val="nil"/>
          <w:left w:val="nil"/>
          <w:bottom w:val="nil"/>
          <w:right w:val="nil"/>
          <w:between w:val="nil"/>
        </w:pBdr>
        <w:jc w:val="left"/>
        <w:rPr>
          <w:b/>
          <w:color w:val="000000"/>
          <w:sz w:val="20"/>
          <w:szCs w:val="20"/>
        </w:rPr>
      </w:pPr>
    </w:p>
    <w:p w14:paraId="313A30A6" w14:textId="77777777" w:rsidR="00F00849" w:rsidRDefault="00000000">
      <w:pPr>
        <w:widowControl/>
        <w:jc w:val="left"/>
        <w:rPr>
          <w:b/>
        </w:rPr>
      </w:pPr>
      <w:r>
        <w:rPr>
          <w:b/>
        </w:rPr>
        <w:t>Proposal #1: The 1LO/1 antenna RF architecture is baseline for NR SL intra-band contiguous CA operation in band n47. The SL CA UE does not support simultaneous SL-U and NR SL CA operation in band n47.</w:t>
      </w:r>
    </w:p>
    <w:p w14:paraId="20690F66" w14:textId="77777777" w:rsidR="00F00849" w:rsidRDefault="00000000">
      <w:pPr>
        <w:widowControl/>
        <w:jc w:val="left"/>
        <w:rPr>
          <w:b/>
        </w:rPr>
      </w:pPr>
      <w:r>
        <w:rPr>
          <w:b/>
        </w:rPr>
        <w:lastRenderedPageBreak/>
        <w:t>Proposal #2: For RF requirements for SL-MIMO and Tx diversity of NR SL intra-band contiguous CA UE, RAN4 can consider 2Tx antenna architecture in Rel-18.</w:t>
      </w:r>
    </w:p>
    <w:p w14:paraId="79806D48" w14:textId="558254EE" w:rsidR="00F00849" w:rsidRDefault="00000000">
      <w:pPr>
        <w:widowControl/>
        <w:jc w:val="left"/>
        <w:rPr>
          <w:b/>
        </w:rPr>
      </w:pPr>
      <w:r>
        <w:rPr>
          <w:b/>
        </w:rPr>
        <w:t>Proposal #3: For the additional features e.g. SL-MIMO and/or Power class 2 of NR SL intra-band CA UE, RAN4 can decide whether to support these features based on RAN4 consensus in Rel-18.</w:t>
      </w:r>
    </w:p>
    <w:p w14:paraId="003B1DF0" w14:textId="77777777" w:rsidR="00F00849" w:rsidRDefault="00F00849">
      <w:pPr>
        <w:widowControl/>
        <w:spacing w:after="0"/>
        <w:jc w:val="left"/>
        <w:rPr>
          <w:i/>
        </w:rPr>
      </w:pPr>
    </w:p>
    <w:p w14:paraId="76F8432C" w14:textId="77777777" w:rsidR="00F00849" w:rsidRDefault="00000000">
      <w:pPr>
        <w:pStyle w:val="2"/>
        <w:numPr>
          <w:ilvl w:val="1"/>
          <w:numId w:val="5"/>
        </w:numPr>
        <w:spacing w:before="240"/>
        <w:ind w:left="567" w:hanging="567"/>
      </w:pPr>
      <w:r>
        <w:t>MPR/A-MPR assumptions for NR SL intra-band contiguous CA UE in band n47</w:t>
      </w:r>
    </w:p>
    <w:p w14:paraId="2D35D7AA" w14:textId="77777777" w:rsidR="00F00849" w:rsidRDefault="00F00849">
      <w:pPr>
        <w:pBdr>
          <w:top w:val="nil"/>
          <w:left w:val="nil"/>
          <w:bottom w:val="nil"/>
          <w:right w:val="nil"/>
          <w:between w:val="nil"/>
        </w:pBdr>
        <w:jc w:val="left"/>
        <w:rPr>
          <w:color w:val="000000"/>
        </w:rPr>
      </w:pPr>
    </w:p>
    <w:p w14:paraId="059F4D2F" w14:textId="77777777" w:rsidR="00F00849" w:rsidRDefault="00000000">
      <w:pPr>
        <w:pBdr>
          <w:top w:val="nil"/>
          <w:left w:val="nil"/>
          <w:bottom w:val="nil"/>
          <w:right w:val="nil"/>
          <w:between w:val="nil"/>
        </w:pBdr>
        <w:jc w:val="left"/>
        <w:rPr>
          <w:color w:val="000000"/>
        </w:rPr>
      </w:pPr>
      <w:r>
        <w:rPr>
          <w:color w:val="000000"/>
        </w:rPr>
        <w:t>For the basic MPR/A-MPR simulation assumptions, RAN4 can reuse the simulation assumptions in TR38.785 for PC3 /PC2 NR SL CA UE in band n47.</w:t>
      </w:r>
    </w:p>
    <w:p w14:paraId="4B60AEEF" w14:textId="77777777" w:rsidR="00F00849" w:rsidRDefault="00000000">
      <w:pPr>
        <w:keepNext/>
        <w:keepLines/>
        <w:widowControl/>
        <w:pBdr>
          <w:top w:val="nil"/>
          <w:left w:val="nil"/>
          <w:bottom w:val="nil"/>
          <w:right w:val="nil"/>
          <w:between w:val="nil"/>
        </w:pBdr>
        <w:spacing w:before="60" w:after="180"/>
        <w:jc w:val="center"/>
        <w:rPr>
          <w:b/>
          <w:color w:val="000000"/>
          <w:sz w:val="20"/>
          <w:szCs w:val="20"/>
        </w:rPr>
      </w:pPr>
      <w:r>
        <w:rPr>
          <w:b/>
          <w:color w:val="000000"/>
          <w:sz w:val="20"/>
          <w:szCs w:val="20"/>
        </w:rPr>
        <w:t>Table 2-1: MPR simulation assumption for PC2/PC3 NR SL intra-band contiguous CA operation</w:t>
      </w:r>
    </w:p>
    <w:tbl>
      <w:tblPr>
        <w:tblStyle w:val="aff3"/>
        <w:tblW w:w="7936"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78"/>
        <w:gridCol w:w="3658"/>
      </w:tblGrid>
      <w:tr w:rsidR="00F00849" w14:paraId="4865F209" w14:textId="77777777">
        <w:trPr>
          <w:trHeight w:val="336"/>
          <w:jc w:val="center"/>
        </w:trPr>
        <w:tc>
          <w:tcPr>
            <w:tcW w:w="4278" w:type="dxa"/>
            <w:shd w:val="clear" w:color="auto" w:fill="auto"/>
          </w:tcPr>
          <w:p w14:paraId="5723DCC4"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Parameter</w:t>
            </w:r>
          </w:p>
        </w:tc>
        <w:tc>
          <w:tcPr>
            <w:tcW w:w="3658" w:type="dxa"/>
            <w:shd w:val="clear" w:color="auto" w:fill="auto"/>
          </w:tcPr>
          <w:p w14:paraId="15D93228"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Assumption</w:t>
            </w:r>
          </w:p>
        </w:tc>
      </w:tr>
      <w:tr w:rsidR="00F00849" w14:paraId="0B563342" w14:textId="77777777">
        <w:trPr>
          <w:trHeight w:val="238"/>
          <w:jc w:val="center"/>
        </w:trPr>
        <w:tc>
          <w:tcPr>
            <w:tcW w:w="4278" w:type="dxa"/>
            <w:shd w:val="clear" w:color="auto" w:fill="auto"/>
          </w:tcPr>
          <w:p w14:paraId="0A032461"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Center frequency</w:t>
            </w:r>
          </w:p>
        </w:tc>
        <w:tc>
          <w:tcPr>
            <w:tcW w:w="3658" w:type="dxa"/>
            <w:shd w:val="clear" w:color="auto" w:fill="auto"/>
          </w:tcPr>
          <w:p w14:paraId="3597604D"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5.</w:t>
            </w:r>
            <w:r>
              <w:rPr>
                <w:sz w:val="18"/>
                <w:szCs w:val="18"/>
              </w:rPr>
              <w:t>885</w:t>
            </w:r>
            <w:r>
              <w:rPr>
                <w:color w:val="000000"/>
                <w:sz w:val="18"/>
                <w:szCs w:val="18"/>
              </w:rPr>
              <w:t>GHz for 1LO</w:t>
            </w:r>
          </w:p>
        </w:tc>
      </w:tr>
      <w:tr w:rsidR="00F00849" w14:paraId="3F65D1DA" w14:textId="77777777">
        <w:trPr>
          <w:trHeight w:val="479"/>
          <w:jc w:val="center"/>
        </w:trPr>
        <w:tc>
          <w:tcPr>
            <w:tcW w:w="4278" w:type="dxa"/>
            <w:shd w:val="clear" w:color="auto" w:fill="auto"/>
          </w:tcPr>
          <w:p w14:paraId="04F910D2"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Bandwidth per CC</w:t>
            </w:r>
          </w:p>
        </w:tc>
        <w:tc>
          <w:tcPr>
            <w:tcW w:w="3658" w:type="dxa"/>
            <w:shd w:val="clear" w:color="auto" w:fill="auto"/>
          </w:tcPr>
          <w:p w14:paraId="6206F159"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10/20/30/40MHz</w:t>
            </w:r>
          </w:p>
        </w:tc>
      </w:tr>
      <w:tr w:rsidR="00F00849" w14:paraId="187EC56D" w14:textId="77777777">
        <w:trPr>
          <w:trHeight w:val="479"/>
          <w:jc w:val="center"/>
        </w:trPr>
        <w:tc>
          <w:tcPr>
            <w:tcW w:w="4278" w:type="dxa"/>
            <w:shd w:val="clear" w:color="auto" w:fill="auto"/>
          </w:tcPr>
          <w:p w14:paraId="40306EF6"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Maximum output power for aggregated CBW</w:t>
            </w:r>
          </w:p>
        </w:tc>
        <w:tc>
          <w:tcPr>
            <w:tcW w:w="3658" w:type="dxa"/>
            <w:shd w:val="clear" w:color="auto" w:fill="auto"/>
          </w:tcPr>
          <w:p w14:paraId="1D1DBA3F"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23dBm/26 dBm</w:t>
            </w:r>
          </w:p>
        </w:tc>
      </w:tr>
      <w:tr w:rsidR="00F00849" w14:paraId="10B16C2D" w14:textId="77777777">
        <w:trPr>
          <w:trHeight w:val="479"/>
          <w:jc w:val="center"/>
        </w:trPr>
        <w:tc>
          <w:tcPr>
            <w:tcW w:w="4278" w:type="dxa"/>
            <w:shd w:val="clear" w:color="auto" w:fill="auto"/>
          </w:tcPr>
          <w:p w14:paraId="5268A576"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Numerology</w:t>
            </w:r>
          </w:p>
        </w:tc>
        <w:tc>
          <w:tcPr>
            <w:tcW w:w="3658" w:type="dxa"/>
            <w:shd w:val="clear" w:color="auto" w:fill="auto"/>
          </w:tcPr>
          <w:p w14:paraId="13A088EB"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15 kHz/30kHz/60kHz</w:t>
            </w:r>
          </w:p>
        </w:tc>
      </w:tr>
      <w:tr w:rsidR="00F00849" w14:paraId="01FA4661" w14:textId="77777777">
        <w:trPr>
          <w:trHeight w:val="479"/>
          <w:jc w:val="center"/>
        </w:trPr>
        <w:tc>
          <w:tcPr>
            <w:tcW w:w="4278" w:type="dxa"/>
            <w:shd w:val="clear" w:color="auto" w:fill="auto"/>
          </w:tcPr>
          <w:p w14:paraId="018FB4CC"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Modulation per CC</w:t>
            </w:r>
          </w:p>
        </w:tc>
        <w:tc>
          <w:tcPr>
            <w:tcW w:w="3658" w:type="dxa"/>
            <w:shd w:val="clear" w:color="auto" w:fill="auto"/>
          </w:tcPr>
          <w:p w14:paraId="01179D4D"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QPSK/16QAM/64QAM/256QAM</w:t>
            </w:r>
          </w:p>
        </w:tc>
      </w:tr>
      <w:tr w:rsidR="00F00849" w14:paraId="745D85AF" w14:textId="77777777">
        <w:trPr>
          <w:trHeight w:val="479"/>
          <w:jc w:val="center"/>
        </w:trPr>
        <w:tc>
          <w:tcPr>
            <w:tcW w:w="4278" w:type="dxa"/>
            <w:shd w:val="clear" w:color="auto" w:fill="auto"/>
          </w:tcPr>
          <w:p w14:paraId="796AA713"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Waveform</w:t>
            </w:r>
          </w:p>
        </w:tc>
        <w:tc>
          <w:tcPr>
            <w:tcW w:w="3658" w:type="dxa"/>
            <w:shd w:val="clear" w:color="auto" w:fill="auto"/>
          </w:tcPr>
          <w:p w14:paraId="0B987F6F"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CP-OFDM</w:t>
            </w:r>
          </w:p>
        </w:tc>
      </w:tr>
      <w:tr w:rsidR="00F00849" w14:paraId="06A3623A" w14:textId="77777777">
        <w:trPr>
          <w:trHeight w:val="479"/>
          <w:jc w:val="center"/>
        </w:trPr>
        <w:tc>
          <w:tcPr>
            <w:tcW w:w="4278" w:type="dxa"/>
            <w:shd w:val="clear" w:color="auto" w:fill="auto"/>
          </w:tcPr>
          <w:p w14:paraId="42DE8BE7"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Carrier leakage</w:t>
            </w:r>
          </w:p>
        </w:tc>
        <w:tc>
          <w:tcPr>
            <w:tcW w:w="3658" w:type="dxa"/>
            <w:shd w:val="clear" w:color="auto" w:fill="auto"/>
          </w:tcPr>
          <w:p w14:paraId="6EA9E42C"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25dBc</w:t>
            </w:r>
          </w:p>
        </w:tc>
      </w:tr>
      <w:tr w:rsidR="00F00849" w14:paraId="355B015A" w14:textId="77777777">
        <w:trPr>
          <w:trHeight w:val="479"/>
          <w:jc w:val="center"/>
        </w:trPr>
        <w:tc>
          <w:tcPr>
            <w:tcW w:w="4278" w:type="dxa"/>
            <w:shd w:val="clear" w:color="auto" w:fill="auto"/>
          </w:tcPr>
          <w:p w14:paraId="44FBF076"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IQ image</w:t>
            </w:r>
          </w:p>
        </w:tc>
        <w:tc>
          <w:tcPr>
            <w:tcW w:w="3658" w:type="dxa"/>
            <w:shd w:val="clear" w:color="auto" w:fill="auto"/>
          </w:tcPr>
          <w:p w14:paraId="1044AAD9"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25dBc</w:t>
            </w:r>
          </w:p>
        </w:tc>
      </w:tr>
      <w:tr w:rsidR="00F00849" w14:paraId="2DA44A48" w14:textId="77777777">
        <w:trPr>
          <w:trHeight w:val="479"/>
          <w:jc w:val="center"/>
        </w:trPr>
        <w:tc>
          <w:tcPr>
            <w:tcW w:w="4278" w:type="dxa"/>
            <w:shd w:val="clear" w:color="auto" w:fill="auto"/>
          </w:tcPr>
          <w:p w14:paraId="7F4FAE36"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CIM3</w:t>
            </w:r>
          </w:p>
        </w:tc>
        <w:tc>
          <w:tcPr>
            <w:tcW w:w="3658" w:type="dxa"/>
            <w:shd w:val="clear" w:color="auto" w:fill="auto"/>
          </w:tcPr>
          <w:p w14:paraId="2EDB49A0"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45dBc or 60dBc</w:t>
            </w:r>
          </w:p>
        </w:tc>
      </w:tr>
      <w:tr w:rsidR="00F00849" w14:paraId="32876D07" w14:textId="77777777">
        <w:trPr>
          <w:trHeight w:val="479"/>
          <w:jc w:val="center"/>
        </w:trPr>
        <w:tc>
          <w:tcPr>
            <w:tcW w:w="4278" w:type="dxa"/>
            <w:shd w:val="clear" w:color="auto" w:fill="auto"/>
          </w:tcPr>
          <w:p w14:paraId="12C266C1"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PA calibration</w:t>
            </w:r>
          </w:p>
        </w:tc>
        <w:tc>
          <w:tcPr>
            <w:tcW w:w="3658" w:type="dxa"/>
            <w:shd w:val="clear" w:color="auto" w:fill="auto"/>
          </w:tcPr>
          <w:p w14:paraId="46ECAF3D" w14:textId="77777777" w:rsidR="00F00849"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PA calibrated to deliver [31dBc] ACLR for a fully allocated RBs in 20MHz QPSK DFT- S-OFDM waveform at 1 dB MPR.</w:t>
            </w:r>
          </w:p>
          <w:p w14:paraId="010B88B0" w14:textId="77777777" w:rsidR="00F00849" w:rsidRDefault="00000000">
            <w:pPr>
              <w:keepNext/>
              <w:keepLines/>
              <w:widowControl/>
              <w:pBdr>
                <w:top w:val="nil"/>
                <w:left w:val="nil"/>
                <w:bottom w:val="nil"/>
                <w:right w:val="nil"/>
                <w:between w:val="nil"/>
              </w:pBdr>
              <w:spacing w:after="0"/>
              <w:jc w:val="left"/>
              <w:rPr>
                <w:b/>
                <w:color w:val="000000"/>
                <w:sz w:val="18"/>
                <w:szCs w:val="18"/>
              </w:rPr>
            </w:pPr>
            <w:r>
              <w:rPr>
                <w:color w:val="000000"/>
                <w:sz w:val="18"/>
                <w:szCs w:val="18"/>
              </w:rPr>
              <w:t>This is based to share PA between LTE V2X and NR V2X at 5.9GHz as worst case.</w:t>
            </w:r>
          </w:p>
        </w:tc>
      </w:tr>
    </w:tbl>
    <w:p w14:paraId="106E7C04" w14:textId="77777777" w:rsidR="00F00849" w:rsidRDefault="00F00849"/>
    <w:p w14:paraId="79985597" w14:textId="77777777" w:rsidR="00F00849" w:rsidRDefault="00000000">
      <w:r>
        <w:t>For both PC3/PC2 NR SL intra-band contiguous CA operation, simultaneous transmission of PSCCH and PSSCH in the same sub-frame is supported. The following constraints in Table 2-2 can be assumed based on current RAN1’s agreement.</w:t>
      </w:r>
    </w:p>
    <w:p w14:paraId="641889E3" w14:textId="77777777" w:rsidR="00F00849" w:rsidRDefault="00000000">
      <w:pPr>
        <w:keepNext/>
        <w:keepLines/>
        <w:widowControl/>
        <w:pBdr>
          <w:top w:val="nil"/>
          <w:left w:val="nil"/>
          <w:bottom w:val="nil"/>
          <w:right w:val="nil"/>
          <w:between w:val="nil"/>
        </w:pBdr>
        <w:spacing w:before="60" w:after="180"/>
        <w:jc w:val="center"/>
        <w:rPr>
          <w:b/>
          <w:color w:val="000000"/>
          <w:sz w:val="20"/>
          <w:szCs w:val="20"/>
        </w:rPr>
      </w:pPr>
      <w:r>
        <w:rPr>
          <w:b/>
          <w:color w:val="000000"/>
          <w:sz w:val="20"/>
          <w:szCs w:val="20"/>
        </w:rPr>
        <w:lastRenderedPageBreak/>
        <w:t>Table.2-2: PC2/PC3 NR SL CA UE’s MPR simulation assumptions</w:t>
      </w:r>
    </w:p>
    <w:tbl>
      <w:tblPr>
        <w:tblStyle w:val="aff4"/>
        <w:tblW w:w="792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8"/>
        <w:gridCol w:w="4131"/>
      </w:tblGrid>
      <w:tr w:rsidR="00F00849" w14:paraId="266A7008" w14:textId="77777777">
        <w:trPr>
          <w:trHeight w:val="356"/>
          <w:jc w:val="center"/>
        </w:trPr>
        <w:tc>
          <w:tcPr>
            <w:tcW w:w="3798" w:type="dxa"/>
            <w:shd w:val="clear" w:color="auto" w:fill="auto"/>
            <w:vAlign w:val="center"/>
          </w:tcPr>
          <w:p w14:paraId="1C6EADA5"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Items</w:t>
            </w:r>
          </w:p>
        </w:tc>
        <w:tc>
          <w:tcPr>
            <w:tcW w:w="4131" w:type="dxa"/>
            <w:shd w:val="clear" w:color="auto" w:fill="auto"/>
            <w:vAlign w:val="center"/>
          </w:tcPr>
          <w:p w14:paraId="5D086729"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Assumption</w:t>
            </w:r>
          </w:p>
        </w:tc>
      </w:tr>
      <w:tr w:rsidR="00F00849" w14:paraId="43DA7D4E" w14:textId="77777777">
        <w:trPr>
          <w:trHeight w:val="555"/>
          <w:jc w:val="center"/>
        </w:trPr>
        <w:tc>
          <w:tcPr>
            <w:tcW w:w="3798" w:type="dxa"/>
            <w:shd w:val="clear" w:color="auto" w:fill="auto"/>
          </w:tcPr>
          <w:p w14:paraId="5C58981B"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Allowed sub-channel sizes per CC</w:t>
            </w:r>
          </w:p>
        </w:tc>
        <w:tc>
          <w:tcPr>
            <w:tcW w:w="4131" w:type="dxa"/>
            <w:shd w:val="clear" w:color="auto" w:fill="auto"/>
          </w:tcPr>
          <w:p w14:paraId="4DD01C4C"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Support {10, 12, 15, 20, 25, 50, 75, 100} PRBs for possible sub-channel size.</w:t>
            </w:r>
          </w:p>
        </w:tc>
      </w:tr>
      <w:tr w:rsidR="00F00849" w14:paraId="039B2895" w14:textId="77777777">
        <w:trPr>
          <w:trHeight w:val="555"/>
          <w:jc w:val="center"/>
        </w:trPr>
        <w:tc>
          <w:tcPr>
            <w:tcW w:w="3798" w:type="dxa"/>
            <w:shd w:val="clear" w:color="auto" w:fill="auto"/>
          </w:tcPr>
          <w:p w14:paraId="3005F02E"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color w:val="000000"/>
                <w:sz w:val="18"/>
                <w:szCs w:val="18"/>
              </w:rPr>
              <w:t>Allowed L</w:t>
            </w:r>
            <w:r>
              <w:rPr>
                <w:color w:val="000000"/>
                <w:sz w:val="18"/>
                <w:szCs w:val="18"/>
                <w:vertAlign w:val="subscript"/>
              </w:rPr>
              <w:t>CRB</w:t>
            </w:r>
            <w:r>
              <w:rPr>
                <w:color w:val="000000"/>
                <w:sz w:val="18"/>
                <w:szCs w:val="18"/>
              </w:rPr>
              <w:t xml:space="preserve"> allocation per CC</w:t>
            </w:r>
          </w:p>
        </w:tc>
        <w:tc>
          <w:tcPr>
            <w:tcW w:w="4131" w:type="dxa"/>
            <w:shd w:val="clear" w:color="auto" w:fill="auto"/>
          </w:tcPr>
          <w:p w14:paraId="6EDBDC31"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10,12,15,20,24,25,30,36,40,45,48,50,60,70,72,75,80,84,90,96,100,105,108,110,120,130,132,135,140,144,150,156,160,165,168,170,175,180,190,192,195,200,204,210,216</w:t>
            </w:r>
          </w:p>
        </w:tc>
      </w:tr>
      <w:tr w:rsidR="00F00849" w14:paraId="0555174D" w14:textId="77777777">
        <w:trPr>
          <w:trHeight w:val="555"/>
          <w:jc w:val="center"/>
        </w:trPr>
        <w:tc>
          <w:tcPr>
            <w:tcW w:w="3798" w:type="dxa"/>
            <w:shd w:val="clear" w:color="auto" w:fill="auto"/>
          </w:tcPr>
          <w:p w14:paraId="72709B71"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Regarding PSCCH / PSSCH multiplexing per CC</w:t>
            </w:r>
          </w:p>
        </w:tc>
        <w:tc>
          <w:tcPr>
            <w:tcW w:w="4131" w:type="dxa"/>
            <w:shd w:val="clear" w:color="auto" w:fill="auto"/>
          </w:tcPr>
          <w:p w14:paraId="65082A8C"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noProof/>
                <w:color w:val="000000"/>
                <w:sz w:val="18"/>
                <w:szCs w:val="18"/>
              </w:rPr>
              <w:drawing>
                <wp:inline distT="0" distB="0" distL="0" distR="0" wp14:anchorId="6D54F0EF" wp14:editId="6EABF14A">
                  <wp:extent cx="2060575" cy="737870"/>
                  <wp:effectExtent l="0" t="0" r="0" b="0"/>
                  <wp:docPr id="5123" name="image2.png" descr="차트이(가) 표시된 사진&#10;&#10;자동 생성된 설명"/>
                  <wp:cNvGraphicFramePr/>
                  <a:graphic xmlns:a="http://schemas.openxmlformats.org/drawingml/2006/main">
                    <a:graphicData uri="http://schemas.openxmlformats.org/drawingml/2006/picture">
                      <pic:pic xmlns:pic="http://schemas.openxmlformats.org/drawingml/2006/picture">
                        <pic:nvPicPr>
                          <pic:cNvPr id="0" name="image2.png" descr="차트이(가) 표시된 사진&#10;&#10;자동 생성된 설명"/>
                          <pic:cNvPicPr preferRelativeResize="0"/>
                        </pic:nvPicPr>
                        <pic:blipFill>
                          <a:blip r:embed="rId10"/>
                          <a:srcRect/>
                          <a:stretch>
                            <a:fillRect/>
                          </a:stretch>
                        </pic:blipFill>
                        <pic:spPr>
                          <a:xfrm>
                            <a:off x="0" y="0"/>
                            <a:ext cx="2060575" cy="737870"/>
                          </a:xfrm>
                          <a:prstGeom prst="rect">
                            <a:avLst/>
                          </a:prstGeom>
                          <a:ln/>
                        </pic:spPr>
                      </pic:pic>
                    </a:graphicData>
                  </a:graphic>
                </wp:inline>
              </w:drawing>
            </w:r>
          </w:p>
        </w:tc>
      </w:tr>
      <w:tr w:rsidR="00F00849" w14:paraId="1E7E06B9" w14:textId="77777777">
        <w:trPr>
          <w:trHeight w:val="555"/>
          <w:jc w:val="center"/>
        </w:trPr>
        <w:tc>
          <w:tcPr>
            <w:tcW w:w="3798" w:type="dxa"/>
            <w:shd w:val="clear" w:color="auto" w:fill="auto"/>
          </w:tcPr>
          <w:p w14:paraId="2C6BA1AB"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PSCCH size per CC</w:t>
            </w:r>
          </w:p>
        </w:tc>
        <w:tc>
          <w:tcPr>
            <w:tcW w:w="4131" w:type="dxa"/>
            <w:shd w:val="clear" w:color="auto" w:fill="auto"/>
          </w:tcPr>
          <w:p w14:paraId="3825D58B"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10RB*3 Symbols</w:t>
            </w:r>
          </w:p>
        </w:tc>
      </w:tr>
      <w:tr w:rsidR="00F00849" w14:paraId="1B38B0F7" w14:textId="77777777">
        <w:trPr>
          <w:trHeight w:val="557"/>
          <w:jc w:val="center"/>
        </w:trPr>
        <w:tc>
          <w:tcPr>
            <w:tcW w:w="3798" w:type="dxa"/>
            <w:shd w:val="clear" w:color="auto" w:fill="auto"/>
          </w:tcPr>
          <w:p w14:paraId="63D496C9"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PSD offset of X dB between PSCCH and PSSCH per CC</w:t>
            </w:r>
          </w:p>
        </w:tc>
        <w:tc>
          <w:tcPr>
            <w:tcW w:w="4131" w:type="dxa"/>
            <w:shd w:val="clear" w:color="auto" w:fill="auto"/>
          </w:tcPr>
          <w:p w14:paraId="6DA983F8"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0dB</w:t>
            </w:r>
          </w:p>
        </w:tc>
      </w:tr>
    </w:tbl>
    <w:p w14:paraId="68E9AE8C" w14:textId="77777777" w:rsidR="00F00849" w:rsidRDefault="00F00849">
      <w:pPr>
        <w:spacing w:after="240"/>
      </w:pPr>
    </w:p>
    <w:p w14:paraId="67DA2140" w14:textId="77777777" w:rsidR="00F00849" w:rsidRDefault="00000000">
      <w:r>
        <w:t>For simultaneous transmission of PSFCH transmission for PC2/PC3 NR SL CA UE, RAN4 assumed as follows in Table 2-3.</w:t>
      </w:r>
    </w:p>
    <w:p w14:paraId="363A7FC6" w14:textId="77777777" w:rsidR="00F00849" w:rsidRDefault="00000000">
      <w:pPr>
        <w:keepNext/>
        <w:keepLines/>
        <w:widowControl/>
        <w:pBdr>
          <w:top w:val="nil"/>
          <w:left w:val="nil"/>
          <w:bottom w:val="nil"/>
          <w:right w:val="nil"/>
          <w:between w:val="nil"/>
        </w:pBdr>
        <w:spacing w:before="60" w:after="180"/>
        <w:jc w:val="center"/>
        <w:rPr>
          <w:b/>
          <w:color w:val="000000"/>
          <w:sz w:val="20"/>
          <w:szCs w:val="20"/>
        </w:rPr>
      </w:pPr>
      <w:r>
        <w:rPr>
          <w:b/>
          <w:color w:val="000000"/>
          <w:sz w:val="20"/>
          <w:szCs w:val="20"/>
        </w:rPr>
        <w:t>Table 2-3: PC2/PC3 NR SL CA UE’s MPR simulation assumptions for PSFCH transmission</w:t>
      </w:r>
    </w:p>
    <w:tbl>
      <w:tblPr>
        <w:tblStyle w:val="aff5"/>
        <w:tblW w:w="934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081"/>
      </w:tblGrid>
      <w:tr w:rsidR="00F00849" w14:paraId="66A249FA" w14:textId="77777777">
        <w:trPr>
          <w:trHeight w:val="340"/>
        </w:trPr>
        <w:tc>
          <w:tcPr>
            <w:tcW w:w="2263" w:type="dxa"/>
          </w:tcPr>
          <w:p w14:paraId="7D449B81"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Items</w:t>
            </w:r>
          </w:p>
        </w:tc>
        <w:tc>
          <w:tcPr>
            <w:tcW w:w="7081" w:type="dxa"/>
          </w:tcPr>
          <w:p w14:paraId="4C0E9621"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Assumption</w:t>
            </w:r>
          </w:p>
        </w:tc>
      </w:tr>
      <w:tr w:rsidR="00F00849" w14:paraId="715AED38" w14:textId="77777777">
        <w:trPr>
          <w:trHeight w:val="457"/>
        </w:trPr>
        <w:tc>
          <w:tcPr>
            <w:tcW w:w="2263" w:type="dxa"/>
          </w:tcPr>
          <w:p w14:paraId="7AFCDB6D" w14:textId="4CC6403D"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Modulation for PS</w:t>
            </w:r>
            <w:r w:rsidR="00D44FF3">
              <w:rPr>
                <w:color w:val="000000"/>
                <w:sz w:val="18"/>
                <w:szCs w:val="18"/>
              </w:rPr>
              <w:t>F</w:t>
            </w:r>
            <w:r>
              <w:rPr>
                <w:color w:val="000000"/>
                <w:sz w:val="18"/>
                <w:szCs w:val="18"/>
              </w:rPr>
              <w:t>CH per CC</w:t>
            </w:r>
          </w:p>
        </w:tc>
        <w:tc>
          <w:tcPr>
            <w:tcW w:w="7081" w:type="dxa"/>
          </w:tcPr>
          <w:p w14:paraId="517ADC1C"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QPSK</w:t>
            </w:r>
          </w:p>
        </w:tc>
      </w:tr>
      <w:tr w:rsidR="00F00849" w14:paraId="52480E33" w14:textId="77777777">
        <w:trPr>
          <w:trHeight w:val="457"/>
        </w:trPr>
        <w:tc>
          <w:tcPr>
            <w:tcW w:w="2263" w:type="dxa"/>
          </w:tcPr>
          <w:p w14:paraId="484B6F62"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PSFCH</w:t>
            </w:r>
          </w:p>
        </w:tc>
        <w:tc>
          <w:tcPr>
            <w:tcW w:w="7081" w:type="dxa"/>
          </w:tcPr>
          <w:p w14:paraId="10FCEE20"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ZC sequence</w:t>
            </w:r>
          </w:p>
        </w:tc>
      </w:tr>
      <w:tr w:rsidR="00F00849" w14:paraId="365C4909" w14:textId="77777777">
        <w:trPr>
          <w:trHeight w:val="457"/>
        </w:trPr>
        <w:tc>
          <w:tcPr>
            <w:tcW w:w="2263" w:type="dxa"/>
          </w:tcPr>
          <w:p w14:paraId="3155ACCB"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Structure of Slot</w:t>
            </w:r>
          </w:p>
        </w:tc>
        <w:tc>
          <w:tcPr>
            <w:tcW w:w="7081" w:type="dxa"/>
          </w:tcPr>
          <w:p w14:paraId="3ED2C1A9"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Baseline is to follow RAN1 agreements</w:t>
            </w:r>
          </w:p>
        </w:tc>
      </w:tr>
      <w:tr w:rsidR="00F00849" w14:paraId="4AA88B87" w14:textId="77777777">
        <w:trPr>
          <w:trHeight w:val="457"/>
        </w:trPr>
        <w:tc>
          <w:tcPr>
            <w:tcW w:w="2263" w:type="dxa"/>
          </w:tcPr>
          <w:p w14:paraId="0D6AB38B"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color w:val="000000"/>
                <w:sz w:val="18"/>
                <w:szCs w:val="18"/>
              </w:rPr>
              <w:t>RB allocation</w:t>
            </w:r>
          </w:p>
        </w:tc>
        <w:tc>
          <w:tcPr>
            <w:tcW w:w="7081" w:type="dxa"/>
          </w:tcPr>
          <w:p w14:paraId="517683BB" w14:textId="77777777" w:rsidR="00F00849" w:rsidRDefault="00000000">
            <w:pPr>
              <w:keepNext/>
              <w:keepLines/>
              <w:widowControl/>
              <w:pBdr>
                <w:top w:val="nil"/>
                <w:left w:val="nil"/>
                <w:bottom w:val="nil"/>
                <w:right w:val="nil"/>
                <w:between w:val="nil"/>
              </w:pBdr>
              <w:spacing w:after="0"/>
              <w:jc w:val="left"/>
              <w:rPr>
                <w:color w:val="000000"/>
                <w:sz w:val="18"/>
                <w:szCs w:val="18"/>
              </w:rPr>
            </w:pPr>
            <w:r>
              <w:rPr>
                <w:color w:val="000000"/>
                <w:sz w:val="18"/>
                <w:szCs w:val="18"/>
              </w:rPr>
              <w:t xml:space="preserve">- FFS. RAN4 can follow RAN1 agreements for multi-user PSFCH transmission  </w:t>
            </w:r>
          </w:p>
        </w:tc>
      </w:tr>
    </w:tbl>
    <w:p w14:paraId="3EFD97C7" w14:textId="77777777" w:rsidR="00F00849" w:rsidRDefault="00F00849">
      <w:pPr>
        <w:spacing w:after="240"/>
      </w:pPr>
    </w:p>
    <w:p w14:paraId="21B4900D" w14:textId="77777777" w:rsidR="00F00849" w:rsidRDefault="00000000">
      <w:r>
        <w:t>For S-SSB transmission for PC2 V2X UE, RAN4 can be assumed as follows in Table 2-4.</w:t>
      </w:r>
    </w:p>
    <w:p w14:paraId="270705A3" w14:textId="77777777" w:rsidR="00F00849" w:rsidRDefault="00000000">
      <w:pPr>
        <w:keepNext/>
        <w:keepLines/>
        <w:widowControl/>
        <w:pBdr>
          <w:top w:val="nil"/>
          <w:left w:val="nil"/>
          <w:bottom w:val="nil"/>
          <w:right w:val="nil"/>
          <w:between w:val="nil"/>
        </w:pBdr>
        <w:spacing w:before="60" w:after="180"/>
        <w:jc w:val="center"/>
        <w:rPr>
          <w:b/>
          <w:color w:val="000000"/>
          <w:sz w:val="20"/>
          <w:szCs w:val="20"/>
        </w:rPr>
      </w:pPr>
      <w:r>
        <w:rPr>
          <w:b/>
          <w:color w:val="000000"/>
          <w:sz w:val="20"/>
          <w:szCs w:val="20"/>
        </w:rPr>
        <w:t>Table 2-4: PC2/PC3 NR SL CA UE’s MPR simulation assumptions for S-SSB transmission</w:t>
      </w:r>
    </w:p>
    <w:tbl>
      <w:tblPr>
        <w:tblStyle w:val="aff6"/>
        <w:tblW w:w="8267"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97"/>
        <w:gridCol w:w="4870"/>
      </w:tblGrid>
      <w:tr w:rsidR="00F00849" w14:paraId="01196C5F" w14:textId="77777777">
        <w:trPr>
          <w:trHeight w:val="406"/>
          <w:jc w:val="center"/>
        </w:trPr>
        <w:tc>
          <w:tcPr>
            <w:tcW w:w="3397" w:type="dxa"/>
          </w:tcPr>
          <w:p w14:paraId="536FF98F"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Items</w:t>
            </w:r>
          </w:p>
        </w:tc>
        <w:tc>
          <w:tcPr>
            <w:tcW w:w="4870" w:type="dxa"/>
          </w:tcPr>
          <w:p w14:paraId="09C5B766"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Assumption</w:t>
            </w:r>
          </w:p>
        </w:tc>
      </w:tr>
      <w:tr w:rsidR="00F00849" w14:paraId="3ABC2E82" w14:textId="77777777">
        <w:trPr>
          <w:trHeight w:val="429"/>
          <w:jc w:val="center"/>
        </w:trPr>
        <w:tc>
          <w:tcPr>
            <w:tcW w:w="3397" w:type="dxa"/>
          </w:tcPr>
          <w:p w14:paraId="475F2159"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Modulation for PSBCH</w:t>
            </w:r>
          </w:p>
        </w:tc>
        <w:tc>
          <w:tcPr>
            <w:tcW w:w="4870" w:type="dxa"/>
          </w:tcPr>
          <w:p w14:paraId="278F2CF3"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rFonts w:ascii="Calibri" w:eastAsia="Calibri" w:hAnsi="Calibri" w:cs="Calibri"/>
                <w:color w:val="000000"/>
                <w:sz w:val="18"/>
                <w:szCs w:val="18"/>
              </w:rPr>
              <w:t>QPSK</w:t>
            </w:r>
          </w:p>
        </w:tc>
      </w:tr>
      <w:tr w:rsidR="00F00849" w14:paraId="479E4C89" w14:textId="77777777">
        <w:trPr>
          <w:trHeight w:val="429"/>
          <w:jc w:val="center"/>
        </w:trPr>
        <w:tc>
          <w:tcPr>
            <w:tcW w:w="3397" w:type="dxa"/>
          </w:tcPr>
          <w:p w14:paraId="60510EF6"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S-PSS</w:t>
            </w:r>
          </w:p>
        </w:tc>
        <w:tc>
          <w:tcPr>
            <w:tcW w:w="4870" w:type="dxa"/>
          </w:tcPr>
          <w:p w14:paraId="20B7D620"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rFonts w:ascii="Calibri" w:eastAsia="Calibri" w:hAnsi="Calibri" w:cs="Calibri"/>
                <w:color w:val="000000"/>
                <w:sz w:val="18"/>
                <w:szCs w:val="18"/>
              </w:rPr>
              <w:t>M-sequence</w:t>
            </w:r>
          </w:p>
        </w:tc>
      </w:tr>
      <w:tr w:rsidR="00F00849" w14:paraId="17D746E1" w14:textId="77777777">
        <w:trPr>
          <w:trHeight w:val="429"/>
          <w:jc w:val="center"/>
        </w:trPr>
        <w:tc>
          <w:tcPr>
            <w:tcW w:w="3397" w:type="dxa"/>
          </w:tcPr>
          <w:p w14:paraId="1EEB057A"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S-SSS</w:t>
            </w:r>
          </w:p>
        </w:tc>
        <w:tc>
          <w:tcPr>
            <w:tcW w:w="4870" w:type="dxa"/>
          </w:tcPr>
          <w:p w14:paraId="393DEDC4"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rFonts w:ascii="Calibri" w:eastAsia="Calibri" w:hAnsi="Calibri" w:cs="Calibri"/>
                <w:color w:val="000000"/>
                <w:sz w:val="18"/>
                <w:szCs w:val="18"/>
              </w:rPr>
              <w:t>Golden-sequence</w:t>
            </w:r>
          </w:p>
        </w:tc>
      </w:tr>
      <w:tr w:rsidR="00F00849" w14:paraId="3D20BF9A" w14:textId="77777777">
        <w:trPr>
          <w:trHeight w:val="429"/>
          <w:jc w:val="center"/>
        </w:trPr>
        <w:tc>
          <w:tcPr>
            <w:tcW w:w="3397" w:type="dxa"/>
          </w:tcPr>
          <w:p w14:paraId="38C6F4F0"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S-SSB structure</w:t>
            </w:r>
          </w:p>
        </w:tc>
        <w:tc>
          <w:tcPr>
            <w:tcW w:w="4870" w:type="dxa"/>
          </w:tcPr>
          <w:p w14:paraId="43AF74CD"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noProof/>
                <w:color w:val="000000"/>
                <w:sz w:val="18"/>
                <w:szCs w:val="18"/>
              </w:rPr>
              <w:drawing>
                <wp:inline distT="0" distB="0" distL="0" distR="0" wp14:anchorId="55549672" wp14:editId="291C8947">
                  <wp:extent cx="2636726" cy="300311"/>
                  <wp:effectExtent l="0" t="0" r="0" b="0"/>
                  <wp:docPr id="5125"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1"/>
                          <a:srcRect/>
                          <a:stretch>
                            <a:fillRect/>
                          </a:stretch>
                        </pic:blipFill>
                        <pic:spPr>
                          <a:xfrm>
                            <a:off x="0" y="0"/>
                            <a:ext cx="2636726" cy="300311"/>
                          </a:xfrm>
                          <a:prstGeom prst="rect">
                            <a:avLst/>
                          </a:prstGeom>
                          <a:ln/>
                        </pic:spPr>
                      </pic:pic>
                    </a:graphicData>
                  </a:graphic>
                </wp:inline>
              </w:drawing>
            </w:r>
          </w:p>
        </w:tc>
      </w:tr>
      <w:tr w:rsidR="00F00849" w14:paraId="594BA7C4" w14:textId="77777777">
        <w:trPr>
          <w:trHeight w:val="666"/>
          <w:jc w:val="center"/>
        </w:trPr>
        <w:tc>
          <w:tcPr>
            <w:tcW w:w="3397" w:type="dxa"/>
          </w:tcPr>
          <w:p w14:paraId="2C635CB3"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RB allocation</w:t>
            </w:r>
          </w:p>
        </w:tc>
        <w:tc>
          <w:tcPr>
            <w:tcW w:w="4870" w:type="dxa"/>
          </w:tcPr>
          <w:p w14:paraId="7AE80C20"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rFonts w:ascii="Calibri" w:eastAsia="Calibri" w:hAnsi="Calibri" w:cs="Calibri"/>
                <w:color w:val="000000"/>
                <w:sz w:val="18"/>
                <w:szCs w:val="18"/>
              </w:rPr>
              <w:t>RBstart: All the possible cases</w:t>
            </w:r>
          </w:p>
          <w:p w14:paraId="3326244F"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rFonts w:ascii="Calibri" w:eastAsia="Calibri" w:hAnsi="Calibri" w:cs="Calibri"/>
                <w:color w:val="000000"/>
                <w:sz w:val="18"/>
                <w:szCs w:val="18"/>
              </w:rPr>
              <w:t>L</w:t>
            </w:r>
            <w:r>
              <w:rPr>
                <w:rFonts w:ascii="Calibri" w:eastAsia="Calibri" w:hAnsi="Calibri" w:cs="Calibri"/>
                <w:color w:val="000000"/>
                <w:sz w:val="18"/>
                <w:szCs w:val="18"/>
                <w:vertAlign w:val="subscript"/>
              </w:rPr>
              <w:t>CRB</w:t>
            </w:r>
            <w:r>
              <w:rPr>
                <w:rFonts w:ascii="Calibri" w:eastAsia="Calibri" w:hAnsi="Calibri" w:cs="Calibri"/>
                <w:color w:val="000000"/>
                <w:sz w:val="18"/>
                <w:szCs w:val="18"/>
              </w:rPr>
              <w:t>: 11 RB</w:t>
            </w:r>
          </w:p>
        </w:tc>
      </w:tr>
    </w:tbl>
    <w:p w14:paraId="466FE577" w14:textId="77777777" w:rsidR="00F00849" w:rsidRDefault="00F00849">
      <w:pPr>
        <w:pBdr>
          <w:top w:val="nil"/>
          <w:left w:val="nil"/>
          <w:bottom w:val="nil"/>
          <w:right w:val="nil"/>
          <w:between w:val="nil"/>
        </w:pBdr>
        <w:jc w:val="left"/>
        <w:rPr>
          <w:color w:val="000000"/>
        </w:rPr>
      </w:pPr>
    </w:p>
    <w:p w14:paraId="4DC2E936" w14:textId="77777777" w:rsidR="00F00849" w:rsidRDefault="00000000">
      <w:pPr>
        <w:pBdr>
          <w:top w:val="nil"/>
          <w:left w:val="nil"/>
          <w:bottom w:val="nil"/>
          <w:right w:val="nil"/>
          <w:between w:val="nil"/>
        </w:pBdr>
        <w:jc w:val="left"/>
        <w:rPr>
          <w:color w:val="000000"/>
        </w:rPr>
      </w:pPr>
      <w:r>
        <w:rPr>
          <w:color w:val="000000"/>
        </w:rPr>
        <w:t xml:space="preserve">Also, the candidate CA band combinations are proposed in Table 2-5. The maximum allowed aggregated channel BW is up to 70MHz in band </w:t>
      </w:r>
      <w:r>
        <w:t>n47</w:t>
      </w:r>
      <w:r>
        <w:rPr>
          <w:color w:val="000000"/>
        </w:rPr>
        <w:t xml:space="preserve">. </w:t>
      </w:r>
    </w:p>
    <w:p w14:paraId="4979946F" w14:textId="77777777" w:rsidR="00F00849" w:rsidRDefault="00000000">
      <w:pPr>
        <w:keepNext/>
        <w:keepLines/>
        <w:widowControl/>
        <w:pBdr>
          <w:top w:val="nil"/>
          <w:left w:val="nil"/>
          <w:bottom w:val="nil"/>
          <w:right w:val="nil"/>
          <w:between w:val="nil"/>
        </w:pBdr>
        <w:spacing w:before="60" w:after="180"/>
        <w:jc w:val="center"/>
        <w:rPr>
          <w:b/>
          <w:color w:val="000000"/>
          <w:sz w:val="20"/>
          <w:szCs w:val="20"/>
        </w:rPr>
      </w:pPr>
      <w:r>
        <w:rPr>
          <w:b/>
          <w:color w:val="000000"/>
          <w:sz w:val="20"/>
          <w:szCs w:val="20"/>
        </w:rPr>
        <w:lastRenderedPageBreak/>
        <w:t>Table 2-5: NR SL Intra-band contiguous CA operation configurations</w:t>
      </w:r>
    </w:p>
    <w:tbl>
      <w:tblPr>
        <w:tblStyle w:val="aff7"/>
        <w:tblW w:w="906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35"/>
        <w:gridCol w:w="765"/>
        <w:gridCol w:w="960"/>
        <w:gridCol w:w="3315"/>
        <w:gridCol w:w="1110"/>
        <w:gridCol w:w="1275"/>
      </w:tblGrid>
      <w:tr w:rsidR="00F00849" w14:paraId="73306314" w14:textId="77777777">
        <w:trPr>
          <w:trHeight w:val="187"/>
          <w:jc w:val="center"/>
        </w:trPr>
        <w:tc>
          <w:tcPr>
            <w:tcW w:w="1635" w:type="dxa"/>
            <w:tcBorders>
              <w:left w:val="single" w:sz="4" w:space="0" w:color="000000"/>
              <w:bottom w:val="nil"/>
              <w:right w:val="single" w:sz="4" w:space="0" w:color="000000"/>
            </w:tcBorders>
            <w:shd w:val="clear" w:color="auto" w:fill="auto"/>
            <w:vAlign w:val="center"/>
          </w:tcPr>
          <w:p w14:paraId="58403BAB"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NR V2X intra-band con-current operating configuration</w:t>
            </w:r>
          </w:p>
        </w:tc>
        <w:tc>
          <w:tcPr>
            <w:tcW w:w="765" w:type="dxa"/>
            <w:tcBorders>
              <w:left w:val="single" w:sz="4" w:space="0" w:color="000000"/>
              <w:right w:val="single" w:sz="4" w:space="0" w:color="000000"/>
            </w:tcBorders>
            <w:vAlign w:val="center"/>
          </w:tcPr>
          <w:p w14:paraId="333DE4B1"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NR Band</w:t>
            </w:r>
          </w:p>
        </w:tc>
        <w:tc>
          <w:tcPr>
            <w:tcW w:w="960" w:type="dxa"/>
            <w:tcBorders>
              <w:left w:val="single" w:sz="4" w:space="0" w:color="000000"/>
              <w:right w:val="single" w:sz="4" w:space="0" w:color="000000"/>
            </w:tcBorders>
            <w:vAlign w:val="center"/>
          </w:tcPr>
          <w:p w14:paraId="687B1E69"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Interface</w:t>
            </w:r>
          </w:p>
        </w:tc>
        <w:tc>
          <w:tcPr>
            <w:tcW w:w="3315" w:type="dxa"/>
            <w:tcBorders>
              <w:top w:val="single" w:sz="4" w:space="0" w:color="000000"/>
              <w:left w:val="single" w:sz="4" w:space="0" w:color="000000"/>
              <w:bottom w:val="single" w:sz="4" w:space="0" w:color="000000"/>
              <w:right w:val="single" w:sz="4" w:space="0" w:color="000000"/>
            </w:tcBorders>
            <w:vAlign w:val="center"/>
          </w:tcPr>
          <w:p w14:paraId="564A8041"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Channel bandwidth (MHz) (NOTE 1)</w:t>
            </w:r>
          </w:p>
        </w:tc>
        <w:tc>
          <w:tcPr>
            <w:tcW w:w="1110" w:type="dxa"/>
            <w:tcBorders>
              <w:left w:val="single" w:sz="4" w:space="0" w:color="000000"/>
              <w:bottom w:val="nil"/>
              <w:right w:val="single" w:sz="4" w:space="0" w:color="000000"/>
            </w:tcBorders>
          </w:tcPr>
          <w:p w14:paraId="03271CDA"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Maximum aggregated bandwidth (MHz)</w:t>
            </w:r>
          </w:p>
        </w:tc>
        <w:tc>
          <w:tcPr>
            <w:tcW w:w="1275" w:type="dxa"/>
            <w:tcBorders>
              <w:left w:val="single" w:sz="4" w:space="0" w:color="000000"/>
              <w:bottom w:val="nil"/>
              <w:right w:val="single" w:sz="4" w:space="0" w:color="000000"/>
            </w:tcBorders>
            <w:shd w:val="clear" w:color="auto" w:fill="auto"/>
            <w:vAlign w:val="center"/>
          </w:tcPr>
          <w:p w14:paraId="0E8A8581" w14:textId="77777777" w:rsidR="00F00849" w:rsidRDefault="00000000">
            <w:pPr>
              <w:keepNext/>
              <w:keepLines/>
              <w:widowControl/>
              <w:pBdr>
                <w:top w:val="nil"/>
                <w:left w:val="nil"/>
                <w:bottom w:val="nil"/>
                <w:right w:val="nil"/>
                <w:between w:val="nil"/>
              </w:pBdr>
              <w:spacing w:after="0"/>
              <w:jc w:val="center"/>
              <w:rPr>
                <w:b/>
                <w:color w:val="000000"/>
                <w:sz w:val="18"/>
                <w:szCs w:val="18"/>
              </w:rPr>
            </w:pPr>
            <w:r>
              <w:rPr>
                <w:b/>
                <w:color w:val="000000"/>
                <w:sz w:val="18"/>
                <w:szCs w:val="18"/>
              </w:rPr>
              <w:t>Bandwidth combination set</w:t>
            </w:r>
          </w:p>
        </w:tc>
      </w:tr>
      <w:tr w:rsidR="00F00849" w14:paraId="417E46C3" w14:textId="77777777">
        <w:trPr>
          <w:trHeight w:val="187"/>
          <w:jc w:val="center"/>
        </w:trPr>
        <w:tc>
          <w:tcPr>
            <w:tcW w:w="1635" w:type="dxa"/>
            <w:tcBorders>
              <w:left w:val="single" w:sz="4" w:space="0" w:color="000000"/>
              <w:bottom w:val="nil"/>
              <w:right w:val="single" w:sz="4" w:space="0" w:color="000000"/>
            </w:tcBorders>
            <w:shd w:val="clear" w:color="auto" w:fill="auto"/>
            <w:vAlign w:val="center"/>
          </w:tcPr>
          <w:p w14:paraId="2255F678" w14:textId="77777777" w:rsidR="00F00849" w:rsidRDefault="00000000">
            <w:pPr>
              <w:keepNext/>
              <w:keepLines/>
              <w:widowControl/>
              <w:pBdr>
                <w:top w:val="nil"/>
                <w:left w:val="nil"/>
                <w:bottom w:val="nil"/>
                <w:right w:val="nil"/>
                <w:between w:val="nil"/>
              </w:pBdr>
              <w:spacing w:after="0"/>
              <w:ind w:left="440"/>
              <w:jc w:val="center"/>
              <w:rPr>
                <w:color w:val="000000"/>
                <w:sz w:val="18"/>
                <w:szCs w:val="18"/>
              </w:rPr>
            </w:pPr>
            <w:r>
              <w:rPr>
                <w:color w:val="000000"/>
                <w:sz w:val="18"/>
                <w:szCs w:val="18"/>
              </w:rPr>
              <w:t>V2X_n47B</w:t>
            </w:r>
          </w:p>
        </w:tc>
        <w:tc>
          <w:tcPr>
            <w:tcW w:w="765" w:type="dxa"/>
            <w:tcBorders>
              <w:left w:val="single" w:sz="4" w:space="0" w:color="000000"/>
              <w:right w:val="single" w:sz="4" w:space="0" w:color="000000"/>
            </w:tcBorders>
            <w:vAlign w:val="center"/>
          </w:tcPr>
          <w:p w14:paraId="56DD2B57"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n47</w:t>
            </w:r>
          </w:p>
        </w:tc>
        <w:tc>
          <w:tcPr>
            <w:tcW w:w="960" w:type="dxa"/>
            <w:vMerge w:val="restart"/>
            <w:tcBorders>
              <w:left w:val="single" w:sz="4" w:space="0" w:color="000000"/>
              <w:right w:val="single" w:sz="4" w:space="0" w:color="000000"/>
            </w:tcBorders>
          </w:tcPr>
          <w:p w14:paraId="7DD488F6"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PC5</w:t>
            </w:r>
          </w:p>
        </w:tc>
        <w:tc>
          <w:tcPr>
            <w:tcW w:w="3315" w:type="dxa"/>
            <w:tcBorders>
              <w:top w:val="single" w:sz="4" w:space="0" w:color="000000"/>
              <w:left w:val="single" w:sz="4" w:space="0" w:color="000000"/>
              <w:bottom w:val="single" w:sz="4" w:space="0" w:color="000000"/>
              <w:right w:val="single" w:sz="4" w:space="0" w:color="000000"/>
            </w:tcBorders>
            <w:vAlign w:val="center"/>
          </w:tcPr>
          <w:p w14:paraId="5D9735D5" w14:textId="77777777" w:rsidR="00F00849" w:rsidRDefault="00000000">
            <w:pPr>
              <w:keepNext/>
              <w:keepLines/>
              <w:widowControl/>
              <w:pBdr>
                <w:top w:val="nil"/>
                <w:left w:val="nil"/>
                <w:bottom w:val="nil"/>
                <w:right w:val="nil"/>
                <w:between w:val="nil"/>
              </w:pBdr>
              <w:spacing w:after="0"/>
              <w:ind w:left="440"/>
              <w:jc w:val="center"/>
              <w:rPr>
                <w:color w:val="000000"/>
                <w:sz w:val="18"/>
                <w:szCs w:val="18"/>
              </w:rPr>
            </w:pPr>
            <w:r>
              <w:rPr>
                <w:color w:val="000000"/>
                <w:sz w:val="18"/>
                <w:szCs w:val="18"/>
              </w:rPr>
              <w:t>10, 20, 30, 40</w:t>
            </w:r>
          </w:p>
        </w:tc>
        <w:tc>
          <w:tcPr>
            <w:tcW w:w="1110" w:type="dxa"/>
            <w:tcBorders>
              <w:left w:val="single" w:sz="4" w:space="0" w:color="000000"/>
              <w:bottom w:val="nil"/>
              <w:right w:val="single" w:sz="4" w:space="0" w:color="000000"/>
            </w:tcBorders>
          </w:tcPr>
          <w:p w14:paraId="0CF91EF3" w14:textId="77777777" w:rsidR="00F00849" w:rsidRDefault="00000000">
            <w:pPr>
              <w:keepNext/>
              <w:keepLines/>
              <w:widowControl/>
              <w:pBdr>
                <w:top w:val="nil"/>
                <w:left w:val="nil"/>
                <w:bottom w:val="nil"/>
                <w:right w:val="nil"/>
                <w:between w:val="nil"/>
              </w:pBdr>
              <w:spacing w:after="0"/>
              <w:ind w:left="440"/>
              <w:rPr>
                <w:color w:val="000000"/>
                <w:sz w:val="18"/>
                <w:szCs w:val="18"/>
              </w:rPr>
            </w:pPr>
            <w:r>
              <w:rPr>
                <w:color w:val="000000"/>
                <w:sz w:val="18"/>
                <w:szCs w:val="18"/>
              </w:rPr>
              <w:t>70</w:t>
            </w:r>
          </w:p>
        </w:tc>
        <w:tc>
          <w:tcPr>
            <w:tcW w:w="1275" w:type="dxa"/>
            <w:tcBorders>
              <w:left w:val="single" w:sz="4" w:space="0" w:color="000000"/>
              <w:bottom w:val="nil"/>
              <w:right w:val="single" w:sz="4" w:space="0" w:color="000000"/>
            </w:tcBorders>
            <w:shd w:val="clear" w:color="auto" w:fill="auto"/>
            <w:vAlign w:val="center"/>
          </w:tcPr>
          <w:p w14:paraId="4C24F956" w14:textId="77777777" w:rsidR="00F00849" w:rsidRDefault="00000000">
            <w:pPr>
              <w:keepNext/>
              <w:keepLines/>
              <w:widowControl/>
              <w:pBdr>
                <w:top w:val="nil"/>
                <w:left w:val="nil"/>
                <w:bottom w:val="nil"/>
                <w:right w:val="nil"/>
                <w:between w:val="nil"/>
              </w:pBdr>
              <w:spacing w:after="0"/>
              <w:ind w:left="440"/>
              <w:rPr>
                <w:color w:val="000000"/>
                <w:sz w:val="18"/>
                <w:szCs w:val="18"/>
              </w:rPr>
            </w:pPr>
            <w:r>
              <w:rPr>
                <w:color w:val="000000"/>
                <w:sz w:val="18"/>
                <w:szCs w:val="18"/>
              </w:rPr>
              <w:t>0</w:t>
            </w:r>
          </w:p>
        </w:tc>
      </w:tr>
      <w:tr w:rsidR="00F00849" w14:paraId="7F2532E7" w14:textId="77777777">
        <w:trPr>
          <w:trHeight w:val="187"/>
          <w:jc w:val="center"/>
        </w:trPr>
        <w:tc>
          <w:tcPr>
            <w:tcW w:w="1635" w:type="dxa"/>
            <w:tcBorders>
              <w:top w:val="nil"/>
              <w:left w:val="single" w:sz="4" w:space="0" w:color="000000"/>
              <w:bottom w:val="single" w:sz="4" w:space="0" w:color="000000"/>
              <w:right w:val="single" w:sz="4" w:space="0" w:color="000000"/>
            </w:tcBorders>
            <w:shd w:val="clear" w:color="auto" w:fill="auto"/>
            <w:vAlign w:val="center"/>
          </w:tcPr>
          <w:p w14:paraId="246D7D9C" w14:textId="77777777" w:rsidR="00F00849" w:rsidRDefault="00F00849">
            <w:pPr>
              <w:keepNext/>
              <w:keepLines/>
              <w:widowControl/>
              <w:pBdr>
                <w:top w:val="nil"/>
                <w:left w:val="nil"/>
                <w:bottom w:val="nil"/>
                <w:right w:val="nil"/>
                <w:between w:val="nil"/>
              </w:pBdr>
              <w:spacing w:after="0"/>
              <w:ind w:left="440"/>
              <w:jc w:val="center"/>
              <w:rPr>
                <w:color w:val="000000"/>
                <w:sz w:val="18"/>
                <w:szCs w:val="18"/>
              </w:rPr>
            </w:pPr>
          </w:p>
        </w:tc>
        <w:tc>
          <w:tcPr>
            <w:tcW w:w="765" w:type="dxa"/>
            <w:tcBorders>
              <w:left w:val="single" w:sz="4" w:space="0" w:color="000000"/>
              <w:right w:val="single" w:sz="4" w:space="0" w:color="000000"/>
            </w:tcBorders>
            <w:vAlign w:val="center"/>
          </w:tcPr>
          <w:p w14:paraId="17788A30" w14:textId="77777777" w:rsidR="00F00849" w:rsidRDefault="00000000">
            <w:pPr>
              <w:keepNext/>
              <w:keepLines/>
              <w:widowControl/>
              <w:pBdr>
                <w:top w:val="nil"/>
                <w:left w:val="nil"/>
                <w:bottom w:val="nil"/>
                <w:right w:val="nil"/>
                <w:between w:val="nil"/>
              </w:pBdr>
              <w:spacing w:after="0"/>
              <w:jc w:val="center"/>
              <w:rPr>
                <w:color w:val="000000"/>
                <w:sz w:val="18"/>
                <w:szCs w:val="18"/>
              </w:rPr>
            </w:pPr>
            <w:r>
              <w:rPr>
                <w:color w:val="000000"/>
                <w:sz w:val="18"/>
                <w:szCs w:val="18"/>
              </w:rPr>
              <w:t>n47</w:t>
            </w:r>
          </w:p>
        </w:tc>
        <w:tc>
          <w:tcPr>
            <w:tcW w:w="960" w:type="dxa"/>
            <w:vMerge/>
            <w:tcBorders>
              <w:left w:val="single" w:sz="4" w:space="0" w:color="000000"/>
              <w:right w:val="single" w:sz="4" w:space="0" w:color="000000"/>
            </w:tcBorders>
          </w:tcPr>
          <w:p w14:paraId="065A15FA" w14:textId="77777777" w:rsidR="00F00849" w:rsidRDefault="00F00849">
            <w:pPr>
              <w:pBdr>
                <w:top w:val="nil"/>
                <w:left w:val="nil"/>
                <w:bottom w:val="nil"/>
                <w:right w:val="nil"/>
                <w:between w:val="nil"/>
              </w:pBdr>
              <w:spacing w:after="0" w:line="276" w:lineRule="auto"/>
              <w:jc w:val="left"/>
              <w:rPr>
                <w:color w:val="000000"/>
                <w:sz w:val="18"/>
                <w:szCs w:val="18"/>
              </w:rPr>
            </w:pPr>
          </w:p>
        </w:tc>
        <w:tc>
          <w:tcPr>
            <w:tcW w:w="3315" w:type="dxa"/>
            <w:tcBorders>
              <w:top w:val="single" w:sz="4" w:space="0" w:color="000000"/>
              <w:left w:val="single" w:sz="4" w:space="0" w:color="000000"/>
              <w:bottom w:val="single" w:sz="4" w:space="0" w:color="000000"/>
              <w:right w:val="single" w:sz="4" w:space="0" w:color="000000"/>
            </w:tcBorders>
            <w:vAlign w:val="center"/>
          </w:tcPr>
          <w:p w14:paraId="4909D6AF" w14:textId="77777777" w:rsidR="00F00849" w:rsidRDefault="00000000">
            <w:pPr>
              <w:keepNext/>
              <w:keepLines/>
              <w:widowControl/>
              <w:pBdr>
                <w:top w:val="nil"/>
                <w:left w:val="nil"/>
                <w:bottom w:val="nil"/>
                <w:right w:val="nil"/>
                <w:between w:val="nil"/>
              </w:pBdr>
              <w:spacing w:after="0"/>
              <w:ind w:left="440"/>
              <w:jc w:val="center"/>
              <w:rPr>
                <w:color w:val="000000"/>
                <w:sz w:val="18"/>
                <w:szCs w:val="18"/>
              </w:rPr>
            </w:pPr>
            <w:r>
              <w:rPr>
                <w:color w:val="000000"/>
                <w:sz w:val="18"/>
                <w:szCs w:val="18"/>
              </w:rPr>
              <w:t>10, 20, 30</w:t>
            </w:r>
          </w:p>
        </w:tc>
        <w:tc>
          <w:tcPr>
            <w:tcW w:w="1110" w:type="dxa"/>
            <w:tcBorders>
              <w:top w:val="nil"/>
              <w:left w:val="single" w:sz="4" w:space="0" w:color="000000"/>
              <w:bottom w:val="single" w:sz="4" w:space="0" w:color="000000"/>
              <w:right w:val="single" w:sz="4" w:space="0" w:color="000000"/>
            </w:tcBorders>
          </w:tcPr>
          <w:p w14:paraId="197DE0A0" w14:textId="77777777" w:rsidR="00F00849" w:rsidRDefault="00F00849">
            <w:pPr>
              <w:keepNext/>
              <w:keepLines/>
              <w:widowControl/>
              <w:pBdr>
                <w:top w:val="nil"/>
                <w:left w:val="nil"/>
                <w:bottom w:val="nil"/>
                <w:right w:val="nil"/>
                <w:between w:val="nil"/>
              </w:pBdr>
              <w:spacing w:after="0"/>
              <w:ind w:left="440"/>
              <w:jc w:val="center"/>
              <w:rPr>
                <w:color w:val="000000"/>
                <w:sz w:val="18"/>
                <w:szCs w:val="18"/>
              </w:rPr>
            </w:pPr>
          </w:p>
        </w:tc>
        <w:tc>
          <w:tcPr>
            <w:tcW w:w="1275" w:type="dxa"/>
            <w:tcBorders>
              <w:top w:val="nil"/>
              <w:left w:val="single" w:sz="4" w:space="0" w:color="000000"/>
              <w:bottom w:val="single" w:sz="4" w:space="0" w:color="000000"/>
              <w:right w:val="single" w:sz="4" w:space="0" w:color="000000"/>
            </w:tcBorders>
            <w:shd w:val="clear" w:color="auto" w:fill="auto"/>
            <w:vAlign w:val="center"/>
          </w:tcPr>
          <w:p w14:paraId="0D1F26EE" w14:textId="77777777" w:rsidR="00F00849" w:rsidRDefault="00F00849">
            <w:pPr>
              <w:keepNext/>
              <w:keepLines/>
              <w:widowControl/>
              <w:pBdr>
                <w:top w:val="nil"/>
                <w:left w:val="nil"/>
                <w:bottom w:val="nil"/>
                <w:right w:val="nil"/>
                <w:between w:val="nil"/>
              </w:pBdr>
              <w:spacing w:after="0"/>
              <w:ind w:left="440"/>
              <w:jc w:val="center"/>
              <w:rPr>
                <w:color w:val="000000"/>
                <w:sz w:val="18"/>
                <w:szCs w:val="18"/>
              </w:rPr>
            </w:pPr>
          </w:p>
        </w:tc>
      </w:tr>
      <w:tr w:rsidR="00F00849" w14:paraId="2318B438" w14:textId="77777777">
        <w:trPr>
          <w:trHeight w:val="187"/>
          <w:jc w:val="center"/>
        </w:trPr>
        <w:tc>
          <w:tcPr>
            <w:tcW w:w="9060" w:type="dxa"/>
            <w:gridSpan w:val="6"/>
            <w:tcBorders>
              <w:top w:val="single" w:sz="4" w:space="0" w:color="000000"/>
              <w:left w:val="single" w:sz="4" w:space="0" w:color="000000"/>
              <w:bottom w:val="single" w:sz="4" w:space="0" w:color="000000"/>
              <w:right w:val="single" w:sz="4" w:space="0" w:color="000000"/>
            </w:tcBorders>
          </w:tcPr>
          <w:p w14:paraId="511EBBD5" w14:textId="77777777" w:rsidR="00F00849" w:rsidRDefault="00000000">
            <w:pPr>
              <w:keepNext/>
              <w:keepLines/>
              <w:widowControl/>
              <w:pBdr>
                <w:top w:val="nil"/>
                <w:left w:val="nil"/>
                <w:bottom w:val="nil"/>
                <w:right w:val="nil"/>
                <w:between w:val="nil"/>
              </w:pBdr>
              <w:spacing w:after="0"/>
              <w:ind w:left="851" w:hanging="851"/>
              <w:jc w:val="left"/>
              <w:rPr>
                <w:color w:val="000000"/>
                <w:sz w:val="18"/>
                <w:szCs w:val="18"/>
              </w:rPr>
            </w:pPr>
            <w:r>
              <w:rPr>
                <w:color w:val="000000"/>
                <w:sz w:val="18"/>
                <w:szCs w:val="18"/>
              </w:rPr>
              <w:t xml:space="preserve">NOTE 1: </w:t>
            </w:r>
            <w:r>
              <w:rPr>
                <w:color w:val="000000"/>
                <w:sz w:val="18"/>
                <w:szCs w:val="18"/>
              </w:rPr>
              <w:tab/>
              <w:t>The SCS of each channel bandwidth for NR band refers to Table 5.3.5-1 in TS38.101-1.</w:t>
            </w:r>
          </w:p>
        </w:tc>
      </w:tr>
    </w:tbl>
    <w:p w14:paraId="05C69A05" w14:textId="77777777" w:rsidR="00F00849" w:rsidRDefault="00F00849">
      <w:pPr>
        <w:pBdr>
          <w:top w:val="nil"/>
          <w:left w:val="nil"/>
          <w:bottom w:val="nil"/>
          <w:right w:val="nil"/>
          <w:between w:val="nil"/>
        </w:pBdr>
        <w:jc w:val="left"/>
        <w:rPr>
          <w:color w:val="000000"/>
        </w:rPr>
      </w:pPr>
    </w:p>
    <w:p w14:paraId="2F0F64D8" w14:textId="77777777" w:rsidR="00F00849" w:rsidRDefault="00000000">
      <w:pPr>
        <w:pBdr>
          <w:top w:val="nil"/>
          <w:left w:val="nil"/>
          <w:bottom w:val="nil"/>
          <w:right w:val="nil"/>
          <w:between w:val="nil"/>
        </w:pBdr>
        <w:jc w:val="left"/>
        <w:rPr>
          <w:color w:val="000000"/>
        </w:rPr>
      </w:pPr>
      <w:r>
        <w:rPr>
          <w:color w:val="000000"/>
        </w:rPr>
        <w:t>Following additional simulation assumptions are considered to derive MPR/A-MPR requirements for NR SL intra-band contiguous CA operation in band n47.</w:t>
      </w:r>
    </w:p>
    <w:p w14:paraId="7C9C80B1" w14:textId="77777777" w:rsidR="00F00849" w:rsidRDefault="00000000">
      <w:pPr>
        <w:numPr>
          <w:ilvl w:val="0"/>
          <w:numId w:val="3"/>
        </w:numPr>
        <w:pBdr>
          <w:top w:val="nil"/>
          <w:left w:val="nil"/>
          <w:bottom w:val="nil"/>
          <w:right w:val="nil"/>
          <w:between w:val="nil"/>
        </w:pBdr>
        <w:jc w:val="left"/>
        <w:rPr>
          <w:color w:val="000000"/>
        </w:rPr>
      </w:pPr>
      <w:r>
        <w:rPr>
          <w:color w:val="000000"/>
        </w:rPr>
        <w:t>Baseline SCS is 30kHz for NR SL CA UE</w:t>
      </w:r>
    </w:p>
    <w:p w14:paraId="1B01F86B" w14:textId="77777777" w:rsidR="00F00849" w:rsidRDefault="00000000">
      <w:pPr>
        <w:numPr>
          <w:ilvl w:val="0"/>
          <w:numId w:val="3"/>
        </w:numPr>
        <w:pBdr>
          <w:top w:val="nil"/>
          <w:left w:val="nil"/>
          <w:bottom w:val="nil"/>
          <w:right w:val="nil"/>
          <w:between w:val="nil"/>
        </w:pBdr>
        <w:jc w:val="left"/>
        <w:rPr>
          <w:color w:val="000000"/>
        </w:rPr>
      </w:pPr>
      <w:r>
        <w:rPr>
          <w:color w:val="000000"/>
        </w:rPr>
        <w:t>The example CA bandwidth combination is 2CCs for NR SL intra-band contiguous CA</w:t>
      </w:r>
    </w:p>
    <w:p w14:paraId="35A3ECED" w14:textId="77777777" w:rsidR="00F00849" w:rsidRDefault="00000000">
      <w:pPr>
        <w:numPr>
          <w:ilvl w:val="1"/>
          <w:numId w:val="3"/>
        </w:numPr>
        <w:pBdr>
          <w:top w:val="nil"/>
          <w:left w:val="nil"/>
          <w:bottom w:val="nil"/>
          <w:right w:val="nil"/>
          <w:between w:val="nil"/>
        </w:pBdr>
        <w:jc w:val="left"/>
        <w:rPr>
          <w:color w:val="000000"/>
        </w:rPr>
      </w:pPr>
      <w:r>
        <w:rPr>
          <w:color w:val="000000"/>
        </w:rPr>
        <w:t xml:space="preserve">At least 10MHz+10MHz </w:t>
      </w:r>
    </w:p>
    <w:p w14:paraId="6CC50195" w14:textId="77777777" w:rsidR="00F00849" w:rsidRDefault="00000000">
      <w:pPr>
        <w:numPr>
          <w:ilvl w:val="1"/>
          <w:numId w:val="3"/>
        </w:numPr>
        <w:pBdr>
          <w:top w:val="nil"/>
          <w:left w:val="nil"/>
          <w:bottom w:val="nil"/>
          <w:right w:val="nil"/>
          <w:between w:val="nil"/>
        </w:pBdr>
        <w:jc w:val="left"/>
        <w:rPr>
          <w:color w:val="000000"/>
        </w:rPr>
      </w:pPr>
      <w:r>
        <w:rPr>
          <w:color w:val="000000"/>
        </w:rPr>
        <w:t xml:space="preserve">10MHz + 20/30/40MHz </w:t>
      </w:r>
    </w:p>
    <w:p w14:paraId="5CDAA7E4" w14:textId="77777777" w:rsidR="00F00849" w:rsidRDefault="00000000">
      <w:pPr>
        <w:numPr>
          <w:ilvl w:val="1"/>
          <w:numId w:val="3"/>
        </w:numPr>
        <w:pBdr>
          <w:top w:val="nil"/>
          <w:left w:val="nil"/>
          <w:bottom w:val="nil"/>
          <w:right w:val="nil"/>
          <w:between w:val="nil"/>
        </w:pBdr>
        <w:jc w:val="left"/>
        <w:rPr>
          <w:color w:val="000000"/>
        </w:rPr>
      </w:pPr>
      <w:r>
        <w:rPr>
          <w:color w:val="000000"/>
        </w:rPr>
        <w:t>20MHz + 20/30/40MHz</w:t>
      </w:r>
    </w:p>
    <w:p w14:paraId="4B67ABEC" w14:textId="77777777" w:rsidR="00F00849" w:rsidRDefault="00000000">
      <w:pPr>
        <w:numPr>
          <w:ilvl w:val="1"/>
          <w:numId w:val="3"/>
        </w:numPr>
        <w:pBdr>
          <w:top w:val="nil"/>
          <w:left w:val="nil"/>
          <w:bottom w:val="nil"/>
          <w:right w:val="nil"/>
          <w:between w:val="nil"/>
        </w:pBdr>
        <w:jc w:val="left"/>
        <w:rPr>
          <w:color w:val="000000"/>
        </w:rPr>
      </w:pPr>
      <w:r>
        <w:rPr>
          <w:color w:val="000000"/>
        </w:rPr>
        <w:t>30MHz + 30/40MHz</w:t>
      </w:r>
    </w:p>
    <w:p w14:paraId="633B4B42" w14:textId="77777777" w:rsidR="00F00849" w:rsidRDefault="00000000">
      <w:pPr>
        <w:numPr>
          <w:ilvl w:val="0"/>
          <w:numId w:val="3"/>
        </w:numPr>
        <w:pBdr>
          <w:top w:val="nil"/>
          <w:left w:val="nil"/>
          <w:bottom w:val="nil"/>
          <w:right w:val="nil"/>
          <w:between w:val="nil"/>
        </w:pBdr>
        <w:jc w:val="left"/>
        <w:rPr>
          <w:color w:val="000000"/>
        </w:rPr>
      </w:pPr>
      <w:r>
        <w:rPr>
          <w:color w:val="000000"/>
        </w:rPr>
        <w:t xml:space="preserve">The inner/outer contiguous RB allocation </w:t>
      </w:r>
      <w:r>
        <w:t>mechanisms</w:t>
      </w:r>
      <w:r>
        <w:rPr>
          <w:color w:val="000000"/>
        </w:rPr>
        <w:t xml:space="preserve"> are considered to derive MPR/A-MPR requirements. </w:t>
      </w:r>
    </w:p>
    <w:p w14:paraId="74C30A99" w14:textId="77777777" w:rsidR="00F00849" w:rsidRDefault="00000000">
      <w:pPr>
        <w:numPr>
          <w:ilvl w:val="0"/>
          <w:numId w:val="3"/>
        </w:numPr>
        <w:pBdr>
          <w:top w:val="nil"/>
          <w:left w:val="nil"/>
          <w:bottom w:val="nil"/>
          <w:right w:val="nil"/>
          <w:between w:val="nil"/>
        </w:pBdr>
        <w:jc w:val="left"/>
        <w:rPr>
          <w:color w:val="000000"/>
        </w:rPr>
      </w:pPr>
      <w:r>
        <w:rPr>
          <w:color w:val="000000"/>
        </w:rPr>
        <w:t>For A-MPR requirements in Europe, RAN4 considered the additional SEM requirements in section 6.5E.2.3.1 and additional SE requirements in section 6.5E.3.4 in TS38.101-1.</w:t>
      </w:r>
    </w:p>
    <w:p w14:paraId="797A97CC" w14:textId="4954B0A1" w:rsidR="00F00849" w:rsidRDefault="00000000">
      <w:pPr>
        <w:numPr>
          <w:ilvl w:val="0"/>
          <w:numId w:val="3"/>
        </w:numPr>
        <w:pBdr>
          <w:top w:val="nil"/>
          <w:left w:val="nil"/>
          <w:bottom w:val="nil"/>
          <w:right w:val="nil"/>
          <w:between w:val="nil"/>
        </w:pBdr>
        <w:jc w:val="left"/>
        <w:rPr>
          <w:color w:val="000000"/>
        </w:rPr>
      </w:pPr>
      <w:r>
        <w:rPr>
          <w:color w:val="000000"/>
        </w:rPr>
        <w:t xml:space="preserve">For A-MPR requirements </w:t>
      </w:r>
      <w:r>
        <w:t>in the US</w:t>
      </w:r>
      <w:r>
        <w:rPr>
          <w:color w:val="000000"/>
        </w:rPr>
        <w:t xml:space="preserve">, RAN4 </w:t>
      </w:r>
      <w:r>
        <w:t>needs</w:t>
      </w:r>
      <w:r>
        <w:rPr>
          <w:color w:val="000000"/>
        </w:rPr>
        <w:t xml:space="preserve"> to </w:t>
      </w:r>
      <w:r>
        <w:t>wait for the</w:t>
      </w:r>
      <w:r>
        <w:rPr>
          <w:color w:val="000000"/>
        </w:rPr>
        <w:t xml:space="preserve"> final </w:t>
      </w:r>
      <w:r>
        <w:t xml:space="preserve">release </w:t>
      </w:r>
      <w:r>
        <w:rPr>
          <w:color w:val="000000"/>
        </w:rPr>
        <w:t>of the emission limits from FCC based on RAN4 previous agreements.</w:t>
      </w:r>
    </w:p>
    <w:p w14:paraId="5CC7D90F" w14:textId="24F9DE94" w:rsidR="00E03DA4" w:rsidRDefault="00E03DA4" w:rsidP="00E03DA4">
      <w:pPr>
        <w:numPr>
          <w:ilvl w:val="0"/>
          <w:numId w:val="3"/>
        </w:numPr>
        <w:pBdr>
          <w:top w:val="nil"/>
          <w:left w:val="nil"/>
          <w:bottom w:val="nil"/>
          <w:right w:val="nil"/>
          <w:between w:val="nil"/>
        </w:pBdr>
        <w:jc w:val="left"/>
        <w:rPr>
          <w:color w:val="000000"/>
        </w:rPr>
      </w:pPr>
      <w:r>
        <w:rPr>
          <w:color w:val="000000"/>
        </w:rPr>
        <w:t>For A-MPR to meet E</w:t>
      </w:r>
      <w:r w:rsidR="00C507BD">
        <w:rPr>
          <w:color w:val="000000"/>
        </w:rPr>
        <w:t>urope</w:t>
      </w:r>
      <w:r>
        <w:rPr>
          <w:color w:val="000000"/>
        </w:rPr>
        <w:t xml:space="preserve"> regulation (by NS_33), the following parameters are considered for the example CA bandwidth combination for NR SL intra-band contiguous </w:t>
      </w:r>
      <w:proofErr w:type="gramStart"/>
      <w:r>
        <w:rPr>
          <w:color w:val="000000"/>
        </w:rPr>
        <w:t>CA</w:t>
      </w:r>
      <w:proofErr w:type="gramEnd"/>
    </w:p>
    <w:p w14:paraId="79DEFB66" w14:textId="14816D95" w:rsidR="00E03DA4" w:rsidRDefault="00E03DA4" w:rsidP="00E03DA4">
      <w:pPr>
        <w:numPr>
          <w:ilvl w:val="1"/>
          <w:numId w:val="3"/>
        </w:numPr>
        <w:pBdr>
          <w:top w:val="nil"/>
          <w:left w:val="nil"/>
          <w:bottom w:val="nil"/>
          <w:right w:val="nil"/>
          <w:between w:val="nil"/>
        </w:pBdr>
        <w:jc w:val="left"/>
        <w:rPr>
          <w:color w:val="000000"/>
        </w:rPr>
      </w:pPr>
      <w:r>
        <w:rPr>
          <w:color w:val="000000"/>
        </w:rPr>
        <w:t>At least 10MHz+10MHz (Carrier frequency = 5865MHz) as worst case</w:t>
      </w:r>
    </w:p>
    <w:p w14:paraId="44559C09" w14:textId="302B89B7" w:rsidR="00E03DA4" w:rsidRDefault="00E03DA4" w:rsidP="00E03DA4">
      <w:pPr>
        <w:numPr>
          <w:ilvl w:val="2"/>
          <w:numId w:val="3"/>
        </w:numPr>
        <w:pBdr>
          <w:top w:val="nil"/>
          <w:left w:val="nil"/>
          <w:bottom w:val="nil"/>
          <w:right w:val="nil"/>
          <w:between w:val="nil"/>
        </w:pBdr>
        <w:jc w:val="left"/>
        <w:rPr>
          <w:color w:val="000000"/>
        </w:rPr>
      </w:pPr>
      <w:r>
        <w:rPr>
          <w:color w:val="000000"/>
        </w:rPr>
        <w:t>Other carrier frequency: 5875, 5885, 5895, 5905,5915 MHz</w:t>
      </w:r>
    </w:p>
    <w:p w14:paraId="6EE232B0" w14:textId="77777777" w:rsidR="00E03DA4" w:rsidRDefault="00E03DA4" w:rsidP="00E03DA4">
      <w:pPr>
        <w:numPr>
          <w:ilvl w:val="1"/>
          <w:numId w:val="3"/>
        </w:numPr>
        <w:pBdr>
          <w:top w:val="nil"/>
          <w:left w:val="nil"/>
          <w:bottom w:val="nil"/>
          <w:right w:val="nil"/>
          <w:between w:val="nil"/>
        </w:pBdr>
        <w:jc w:val="left"/>
        <w:rPr>
          <w:color w:val="000000"/>
        </w:rPr>
      </w:pPr>
      <w:r>
        <w:rPr>
          <w:color w:val="000000"/>
        </w:rPr>
        <w:t>20MHz + 20MHz (Carrier frequency =5875MHz) as worst case</w:t>
      </w:r>
    </w:p>
    <w:p w14:paraId="7A5F67EB" w14:textId="034681EA" w:rsidR="00E03DA4" w:rsidRPr="00E03DA4" w:rsidRDefault="00E03DA4" w:rsidP="00E03DA4">
      <w:pPr>
        <w:numPr>
          <w:ilvl w:val="2"/>
          <w:numId w:val="3"/>
        </w:numPr>
        <w:pBdr>
          <w:top w:val="nil"/>
          <w:left w:val="nil"/>
          <w:bottom w:val="nil"/>
          <w:right w:val="nil"/>
          <w:between w:val="nil"/>
        </w:pBdr>
        <w:jc w:val="left"/>
        <w:rPr>
          <w:color w:val="000000"/>
        </w:rPr>
      </w:pPr>
      <w:r>
        <w:rPr>
          <w:color w:val="000000"/>
        </w:rPr>
        <w:t xml:space="preserve"> Other carrier frequency: 5885, 5895, 5905 MHz</w:t>
      </w:r>
    </w:p>
    <w:p w14:paraId="3922A9EB" w14:textId="7B48288D" w:rsidR="00E03DA4" w:rsidRDefault="00E03DA4" w:rsidP="00E03DA4">
      <w:pPr>
        <w:numPr>
          <w:ilvl w:val="1"/>
          <w:numId w:val="3"/>
        </w:numPr>
        <w:pBdr>
          <w:top w:val="nil"/>
          <w:left w:val="nil"/>
          <w:bottom w:val="nil"/>
          <w:right w:val="nil"/>
          <w:between w:val="nil"/>
        </w:pBdr>
        <w:jc w:val="left"/>
        <w:rPr>
          <w:color w:val="000000"/>
        </w:rPr>
      </w:pPr>
      <w:r>
        <w:rPr>
          <w:color w:val="000000"/>
        </w:rPr>
        <w:t>30MHz + 30MHz (Carrier frequency =5885MHz) as worst case</w:t>
      </w:r>
    </w:p>
    <w:p w14:paraId="68A9EF32" w14:textId="64451D40" w:rsidR="00E03DA4" w:rsidRPr="00E03DA4" w:rsidRDefault="00E03DA4" w:rsidP="00E03DA4">
      <w:pPr>
        <w:numPr>
          <w:ilvl w:val="2"/>
          <w:numId w:val="3"/>
        </w:numPr>
        <w:pBdr>
          <w:top w:val="nil"/>
          <w:left w:val="nil"/>
          <w:bottom w:val="nil"/>
          <w:right w:val="nil"/>
          <w:between w:val="nil"/>
        </w:pBdr>
        <w:jc w:val="left"/>
        <w:rPr>
          <w:color w:val="000000"/>
        </w:rPr>
      </w:pPr>
      <w:r>
        <w:rPr>
          <w:color w:val="000000"/>
        </w:rPr>
        <w:t>Other carrier frequency: 5895 MHz</w:t>
      </w:r>
    </w:p>
    <w:p w14:paraId="01DD667B" w14:textId="0A70A432" w:rsidR="00E03DA4" w:rsidRDefault="00E03DA4" w:rsidP="00E03DA4">
      <w:pPr>
        <w:numPr>
          <w:ilvl w:val="1"/>
          <w:numId w:val="3"/>
        </w:numPr>
        <w:pBdr>
          <w:top w:val="nil"/>
          <w:left w:val="nil"/>
          <w:bottom w:val="nil"/>
          <w:right w:val="nil"/>
          <w:between w:val="nil"/>
        </w:pBdr>
        <w:jc w:val="left"/>
        <w:rPr>
          <w:color w:val="000000"/>
        </w:rPr>
      </w:pPr>
      <w:r>
        <w:rPr>
          <w:color w:val="000000"/>
        </w:rPr>
        <w:t>30MHz + 40MHz (Carrier frequency =5885MHz)</w:t>
      </w:r>
    </w:p>
    <w:p w14:paraId="1E57D06F" w14:textId="502F28D6" w:rsidR="00C507BD" w:rsidRDefault="00C507BD" w:rsidP="00E03DA4">
      <w:pPr>
        <w:numPr>
          <w:ilvl w:val="1"/>
          <w:numId w:val="3"/>
        </w:numPr>
        <w:pBdr>
          <w:top w:val="nil"/>
          <w:left w:val="nil"/>
          <w:bottom w:val="nil"/>
          <w:right w:val="nil"/>
          <w:between w:val="nil"/>
        </w:pBdr>
        <w:jc w:val="left"/>
        <w:rPr>
          <w:color w:val="000000"/>
        </w:rPr>
      </w:pPr>
      <w:r>
        <w:rPr>
          <w:color w:val="000000"/>
        </w:rPr>
        <w:t xml:space="preserve">Other candidates’ intra-band contiguous CA band combinations are not </w:t>
      </w:r>
      <w:proofErr w:type="gramStart"/>
      <w:r>
        <w:rPr>
          <w:color w:val="000000"/>
        </w:rPr>
        <w:t>precluded</w:t>
      </w:r>
      <w:proofErr w:type="gramEnd"/>
    </w:p>
    <w:p w14:paraId="5108E1B6" w14:textId="77777777" w:rsidR="00E03DA4" w:rsidRDefault="00E03DA4" w:rsidP="00C507BD">
      <w:pPr>
        <w:pBdr>
          <w:top w:val="nil"/>
          <w:left w:val="nil"/>
          <w:bottom w:val="nil"/>
          <w:right w:val="nil"/>
          <w:between w:val="nil"/>
        </w:pBdr>
        <w:ind w:left="720"/>
        <w:jc w:val="left"/>
        <w:rPr>
          <w:color w:val="000000"/>
        </w:rPr>
      </w:pPr>
    </w:p>
    <w:p w14:paraId="6F1E7600" w14:textId="77777777" w:rsidR="00F00849" w:rsidRDefault="00000000">
      <w:pPr>
        <w:pBdr>
          <w:top w:val="nil"/>
          <w:left w:val="nil"/>
          <w:bottom w:val="nil"/>
          <w:right w:val="nil"/>
          <w:between w:val="nil"/>
        </w:pBdr>
        <w:jc w:val="left"/>
        <w:rPr>
          <w:color w:val="000000"/>
        </w:rPr>
      </w:pPr>
      <w:r>
        <w:rPr>
          <w:color w:val="000000"/>
        </w:rPr>
        <w:t xml:space="preserve">If there </w:t>
      </w:r>
      <w:r>
        <w:t>is not</w:t>
      </w:r>
      <w:r>
        <w:rPr>
          <w:color w:val="000000"/>
        </w:rPr>
        <w:t xml:space="preserve"> indicate the detail parameters, then RAN4 can follow TR38.886 for NR SL operation and </w:t>
      </w:r>
      <w:r>
        <w:t>refer to the</w:t>
      </w:r>
      <w:r>
        <w:rPr>
          <w:color w:val="000000"/>
        </w:rPr>
        <w:t xml:space="preserve"> TS38.211 and TS38.212 for NR SL operation. </w:t>
      </w:r>
    </w:p>
    <w:p w14:paraId="7EA1D8CE" w14:textId="77777777" w:rsidR="00F00849" w:rsidRDefault="00000000">
      <w:pPr>
        <w:widowControl/>
        <w:jc w:val="left"/>
        <w:rPr>
          <w:b/>
        </w:rPr>
      </w:pPr>
      <w:r>
        <w:rPr>
          <w:b/>
        </w:rPr>
        <w:t>Proposal #4: For MPR/A-MPR evaluation to support NR SL intra-band contiguous CA, RAN4 can consider the provided RF parameters and simulation assumptions in section 2.2.</w:t>
      </w:r>
    </w:p>
    <w:p w14:paraId="22074BF3" w14:textId="77777777" w:rsidR="00F00849" w:rsidRDefault="00F00849">
      <w:pPr>
        <w:pBdr>
          <w:top w:val="nil"/>
          <w:left w:val="nil"/>
          <w:bottom w:val="nil"/>
          <w:right w:val="nil"/>
          <w:between w:val="nil"/>
        </w:pBdr>
        <w:jc w:val="left"/>
        <w:rPr>
          <w:b/>
          <w:color w:val="000000"/>
          <w:sz w:val="20"/>
          <w:szCs w:val="20"/>
        </w:rPr>
      </w:pPr>
    </w:p>
    <w:p w14:paraId="0CF97F86" w14:textId="77777777" w:rsidR="00F00849" w:rsidRDefault="00000000">
      <w:pPr>
        <w:pStyle w:val="1"/>
        <w:numPr>
          <w:ilvl w:val="0"/>
          <w:numId w:val="5"/>
        </w:numPr>
        <w:spacing w:before="240"/>
        <w:ind w:left="270" w:hanging="270"/>
      </w:pPr>
      <w:r>
        <w:t>Conclusions</w:t>
      </w:r>
    </w:p>
    <w:p w14:paraId="5A9DEDC7" w14:textId="77777777" w:rsidR="00F00849" w:rsidRDefault="00000000">
      <w:pPr>
        <w:pBdr>
          <w:top w:val="nil"/>
          <w:left w:val="nil"/>
          <w:bottom w:val="nil"/>
          <w:right w:val="nil"/>
          <w:between w:val="nil"/>
        </w:pBdr>
        <w:jc w:val="left"/>
        <w:rPr>
          <w:color w:val="000000"/>
        </w:rPr>
      </w:pPr>
      <w:r>
        <w:rPr>
          <w:color w:val="000000"/>
        </w:rPr>
        <w:t xml:space="preserve">In this contribution, we provided the candidate RF architecture for NR SL intra-band contiguous CA operation in band n47 and provided the </w:t>
      </w:r>
      <w:r>
        <w:t>detailed</w:t>
      </w:r>
      <w:r>
        <w:rPr>
          <w:color w:val="000000"/>
        </w:rPr>
        <w:t xml:space="preserve"> RF parameters and assumptions for MPR/A-MPR requirements in band n47. Based on our initial analysis, we propose </w:t>
      </w:r>
      <w:r>
        <w:t>the following</w:t>
      </w:r>
      <w:r>
        <w:rPr>
          <w:color w:val="000000"/>
        </w:rPr>
        <w:t>.</w:t>
      </w:r>
    </w:p>
    <w:p w14:paraId="77B7CAAC" w14:textId="77777777" w:rsidR="00F00849" w:rsidRDefault="00F00849">
      <w:pPr>
        <w:pBdr>
          <w:top w:val="nil"/>
          <w:left w:val="nil"/>
          <w:bottom w:val="nil"/>
          <w:right w:val="nil"/>
          <w:between w:val="nil"/>
        </w:pBdr>
        <w:jc w:val="left"/>
        <w:rPr>
          <w:color w:val="000000"/>
        </w:rPr>
      </w:pPr>
    </w:p>
    <w:p w14:paraId="60E73174" w14:textId="77777777" w:rsidR="00F00849" w:rsidRDefault="00000000">
      <w:pPr>
        <w:widowControl/>
        <w:jc w:val="left"/>
        <w:rPr>
          <w:b/>
        </w:rPr>
      </w:pPr>
      <w:r>
        <w:rPr>
          <w:b/>
        </w:rPr>
        <w:t>Proposal #1: The 1LO/1 antenna RF architecture is baseline for NR SL intra-band contiguous CA operation in band n47. The SL CA UE does not support simultaneous SL-U and NR SL CA operation in band n47.</w:t>
      </w:r>
    </w:p>
    <w:p w14:paraId="20610A7B" w14:textId="77777777" w:rsidR="00F00849" w:rsidRDefault="00000000">
      <w:pPr>
        <w:widowControl/>
        <w:jc w:val="left"/>
        <w:rPr>
          <w:b/>
        </w:rPr>
      </w:pPr>
      <w:r>
        <w:rPr>
          <w:b/>
        </w:rPr>
        <w:t>Proposal #2: For RF requirements for SL-MIMO and Tx diversity of NR SL intra-band contiguous CA UE, RAN4 can consider 2Tx antenna architecture in Rel-18.</w:t>
      </w:r>
    </w:p>
    <w:p w14:paraId="45DBD445" w14:textId="77777777" w:rsidR="00F00849" w:rsidRDefault="00000000">
      <w:pPr>
        <w:widowControl/>
        <w:jc w:val="left"/>
        <w:rPr>
          <w:b/>
        </w:rPr>
      </w:pPr>
      <w:r>
        <w:rPr>
          <w:b/>
        </w:rPr>
        <w:t>Proposal #3: For the additional features e.g. SL-MIMO and/or Power class 2 of NR SL intra-band CA UE,  RAN4 can decide whether to support these features based on RAN4 consensus in Rel-18.</w:t>
      </w:r>
    </w:p>
    <w:p w14:paraId="1D6B2EC4" w14:textId="77777777" w:rsidR="00F00849" w:rsidRDefault="00000000">
      <w:pPr>
        <w:widowControl/>
        <w:jc w:val="left"/>
        <w:rPr>
          <w:b/>
        </w:rPr>
      </w:pPr>
      <w:r>
        <w:rPr>
          <w:b/>
        </w:rPr>
        <w:t>Proposal #4: For MPR/A-MPR evaluation to support NR SL intra-band contiguous CA, RAN4 can consider the provided RF parameters and simulation assumptions in section 2.2.</w:t>
      </w:r>
    </w:p>
    <w:p w14:paraId="33EDC48F" w14:textId="77777777" w:rsidR="00F00849" w:rsidRDefault="00F00849">
      <w:pPr>
        <w:pBdr>
          <w:top w:val="nil"/>
          <w:left w:val="nil"/>
          <w:bottom w:val="nil"/>
          <w:right w:val="nil"/>
          <w:between w:val="nil"/>
        </w:pBdr>
        <w:jc w:val="left"/>
        <w:rPr>
          <w:color w:val="000000"/>
        </w:rPr>
      </w:pPr>
    </w:p>
    <w:p w14:paraId="439A73FF" w14:textId="77777777" w:rsidR="00F00849" w:rsidRDefault="00000000">
      <w:pPr>
        <w:pStyle w:val="1"/>
        <w:spacing w:before="240"/>
      </w:pPr>
      <w:r>
        <w:t>Reference</w:t>
      </w:r>
    </w:p>
    <w:p w14:paraId="1760D382" w14:textId="77777777" w:rsidR="00F00849" w:rsidRDefault="00000000">
      <w:pPr>
        <w:widowControl/>
        <w:rPr>
          <w:sz w:val="20"/>
          <w:szCs w:val="20"/>
        </w:rPr>
      </w:pPr>
      <w:r>
        <w:rPr>
          <w:sz w:val="20"/>
          <w:szCs w:val="20"/>
        </w:rPr>
        <w:t>[1] RP-230077, “WID revision: NR sidelink evolution,” OPPO</w:t>
      </w:r>
    </w:p>
    <w:p w14:paraId="789EDBD8" w14:textId="77777777" w:rsidR="00F00849" w:rsidRDefault="00000000">
      <w:pPr>
        <w:widowControl/>
        <w:rPr>
          <w:sz w:val="20"/>
          <w:szCs w:val="20"/>
        </w:rPr>
      </w:pPr>
      <w:r>
        <w:rPr>
          <w:sz w:val="20"/>
          <w:szCs w:val="20"/>
        </w:rPr>
        <w:t>[2] RP-230769, “Way forward on R18 SL-Evo WI objectives,” Moderator (OPPO)</w:t>
      </w:r>
    </w:p>
    <w:p w14:paraId="0164E176" w14:textId="77777777" w:rsidR="00F00849" w:rsidRDefault="00000000">
      <w:pPr>
        <w:widowControl/>
        <w:rPr>
          <w:sz w:val="20"/>
          <w:szCs w:val="20"/>
        </w:rPr>
      </w:pPr>
      <w:r>
        <w:rPr>
          <w:sz w:val="20"/>
          <w:szCs w:val="20"/>
        </w:rPr>
        <w:t>[3] TR38.785</w:t>
      </w:r>
    </w:p>
    <w:p w14:paraId="162A263D" w14:textId="77777777" w:rsidR="00F00849" w:rsidRDefault="00000000">
      <w:pPr>
        <w:widowControl/>
        <w:rPr>
          <w:b/>
        </w:rPr>
      </w:pPr>
      <w:r>
        <w:rPr>
          <w:sz w:val="20"/>
          <w:szCs w:val="20"/>
        </w:rPr>
        <w:t>[4] TR38.886</w:t>
      </w:r>
    </w:p>
    <w:sectPr w:rsidR="00F00849">
      <w:pgSz w:w="11909" w:h="16834"/>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073568" w14:textId="77777777" w:rsidR="00FA3968" w:rsidRDefault="00FA3968" w:rsidP="00D44FF3">
      <w:pPr>
        <w:spacing w:after="0"/>
      </w:pPr>
      <w:r>
        <w:separator/>
      </w:r>
    </w:p>
  </w:endnote>
  <w:endnote w:type="continuationSeparator" w:id="0">
    <w:p w14:paraId="0AD6F6CE" w14:textId="77777777" w:rsidR="00FA3968" w:rsidRDefault="00FA3968" w:rsidP="00D44F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Osaka">
    <w:altName w:val="MS Mincho"/>
    <w:panose1 w:val="00000000000000000000"/>
    <w:charset w:val="80"/>
    <w:family w:val="auto"/>
    <w:notTrueType/>
    <w:pitch w:val="variable"/>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B77492" w14:textId="77777777" w:rsidR="00FA3968" w:rsidRDefault="00FA3968" w:rsidP="00D44FF3">
      <w:pPr>
        <w:spacing w:after="0"/>
      </w:pPr>
      <w:r>
        <w:separator/>
      </w:r>
    </w:p>
  </w:footnote>
  <w:footnote w:type="continuationSeparator" w:id="0">
    <w:p w14:paraId="49111DB5" w14:textId="77777777" w:rsidR="00FA3968" w:rsidRDefault="00FA3968" w:rsidP="00D44FF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42E1F"/>
    <w:multiLevelType w:val="multilevel"/>
    <w:tmpl w:val="317EF71C"/>
    <w:lvl w:ilvl="0">
      <w:start w:val="1"/>
      <w:numFmt w:val="bullet"/>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pStyle w:val="4"/>
      <w:lvlText w:val="●"/>
      <w:lvlJc w:val="left"/>
      <w:pPr>
        <w:ind w:left="2880" w:hanging="360"/>
      </w:pPr>
      <w:rPr>
        <w:rFonts w:ascii="Noto Sans Symbols" w:eastAsia="Noto Sans Symbols" w:hAnsi="Noto Sans Symbols" w:cs="Noto Sans Symbols"/>
      </w:rPr>
    </w:lvl>
    <w:lvl w:ilvl="4">
      <w:start w:val="1"/>
      <w:numFmt w:val="bullet"/>
      <w:pStyle w:val="5"/>
      <w:lvlText w:val="o"/>
      <w:lvlJc w:val="left"/>
      <w:pPr>
        <w:ind w:left="3600" w:hanging="360"/>
      </w:pPr>
      <w:rPr>
        <w:rFonts w:ascii="Courier New" w:eastAsia="Courier New" w:hAnsi="Courier New" w:cs="Courier New"/>
      </w:rPr>
    </w:lvl>
    <w:lvl w:ilvl="5">
      <w:start w:val="1"/>
      <w:numFmt w:val="bullet"/>
      <w:pStyle w:val="6"/>
      <w:lvlText w:val="▪"/>
      <w:lvlJc w:val="left"/>
      <w:pPr>
        <w:ind w:left="4320" w:hanging="360"/>
      </w:pPr>
      <w:rPr>
        <w:rFonts w:ascii="Noto Sans Symbols" w:eastAsia="Noto Sans Symbols" w:hAnsi="Noto Sans Symbols" w:cs="Noto Sans Symbols"/>
      </w:rPr>
    </w:lvl>
    <w:lvl w:ilvl="6">
      <w:start w:val="1"/>
      <w:numFmt w:val="bullet"/>
      <w:pStyle w:val="7"/>
      <w:lvlText w:val="●"/>
      <w:lvlJc w:val="left"/>
      <w:pPr>
        <w:ind w:left="5040" w:hanging="360"/>
      </w:pPr>
      <w:rPr>
        <w:rFonts w:ascii="Noto Sans Symbols" w:eastAsia="Noto Sans Symbols" w:hAnsi="Noto Sans Symbols" w:cs="Noto Sans Symbols"/>
      </w:rPr>
    </w:lvl>
    <w:lvl w:ilvl="7">
      <w:start w:val="1"/>
      <w:numFmt w:val="bullet"/>
      <w:pStyle w:val="8"/>
      <w:lvlText w:val="o"/>
      <w:lvlJc w:val="left"/>
      <w:pPr>
        <w:ind w:left="5760" w:hanging="360"/>
      </w:pPr>
      <w:rPr>
        <w:rFonts w:ascii="Courier New" w:eastAsia="Courier New" w:hAnsi="Courier New" w:cs="Courier New"/>
      </w:rPr>
    </w:lvl>
    <w:lvl w:ilvl="8">
      <w:start w:val="1"/>
      <w:numFmt w:val="bullet"/>
      <w:pStyle w:val="9"/>
      <w:lvlText w:val="▪"/>
      <w:lvlJc w:val="left"/>
      <w:pPr>
        <w:ind w:left="6480" w:hanging="360"/>
      </w:pPr>
      <w:rPr>
        <w:rFonts w:ascii="Noto Sans Symbols" w:eastAsia="Noto Sans Symbols" w:hAnsi="Noto Sans Symbols" w:cs="Noto Sans Symbols"/>
      </w:rPr>
    </w:lvl>
  </w:abstractNum>
  <w:abstractNum w:abstractNumId="1" w15:restartNumberingAfterBreak="0">
    <w:nsid w:val="1B553C57"/>
    <w:multiLevelType w:val="multilevel"/>
    <w:tmpl w:val="335E136E"/>
    <w:lvl w:ilvl="0">
      <w:start w:val="1"/>
      <w:numFmt w:val="bullet"/>
      <w:pStyle w:val="CharCharCharChar"/>
      <w:lvlText w:val="-"/>
      <w:lvlJc w:val="left"/>
      <w:pPr>
        <w:ind w:left="720" w:hanging="360"/>
      </w:pPr>
      <w:rPr>
        <w:rFonts w:ascii="Times" w:eastAsia="Times" w:hAnsi="Times" w:cs="Time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5335EE6"/>
    <w:multiLevelType w:val="multilevel"/>
    <w:tmpl w:val="CDE680D0"/>
    <w:lvl w:ilvl="0">
      <w:start w:val="2"/>
      <w:numFmt w:val="decimal"/>
      <w:lvlText w:val="%1."/>
      <w:lvlJc w:val="left"/>
      <w:pPr>
        <w:ind w:left="-1598" w:hanging="420"/>
      </w:pPr>
    </w:lvl>
    <w:lvl w:ilvl="1">
      <w:start w:val="1"/>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3" w15:restartNumberingAfterBreak="0">
    <w:nsid w:val="2A7B64B8"/>
    <w:multiLevelType w:val="multilevel"/>
    <w:tmpl w:val="45DEE4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39867E3"/>
    <w:multiLevelType w:val="multilevel"/>
    <w:tmpl w:val="9DEC0408"/>
    <w:lvl w:ilvl="0">
      <w:start w:val="1"/>
      <w:numFmt w:val="decimal"/>
      <w:lvlText w:val="%1."/>
      <w:lvlJc w:val="left"/>
      <w:pPr>
        <w:ind w:left="-1598" w:hanging="420"/>
      </w:pPr>
    </w:lvl>
    <w:lvl w:ilvl="1">
      <w:start w:val="2"/>
      <w:numFmt w:val="decimal"/>
      <w:lvlText w:val="%1.%2"/>
      <w:lvlJc w:val="left"/>
      <w:pPr>
        <w:ind w:left="-743" w:hanging="1275"/>
      </w:pPr>
    </w:lvl>
    <w:lvl w:ilvl="2">
      <w:start w:val="3"/>
      <w:numFmt w:val="decimal"/>
      <w:lvlText w:val="%1.%2.%3"/>
      <w:lvlJc w:val="left"/>
      <w:pPr>
        <w:ind w:left="-743" w:hanging="1275"/>
      </w:pPr>
    </w:lvl>
    <w:lvl w:ilvl="3">
      <w:start w:val="1"/>
      <w:numFmt w:val="decimal"/>
      <w:lvlText w:val="%1.%2.%3.%4"/>
      <w:lvlJc w:val="left"/>
      <w:pPr>
        <w:ind w:left="-743" w:hanging="1275"/>
      </w:pPr>
    </w:lvl>
    <w:lvl w:ilvl="4">
      <w:start w:val="1"/>
      <w:numFmt w:val="decimal"/>
      <w:lvlText w:val="%1.%2.%3.%4.%5"/>
      <w:lvlJc w:val="left"/>
      <w:pPr>
        <w:ind w:left="-743" w:hanging="1275"/>
      </w:pPr>
    </w:lvl>
    <w:lvl w:ilvl="5">
      <w:start w:val="1"/>
      <w:numFmt w:val="decimal"/>
      <w:lvlText w:val="%1.%2.%3.%4.%5.%6"/>
      <w:lvlJc w:val="left"/>
      <w:pPr>
        <w:ind w:left="-743" w:hanging="1275"/>
      </w:pPr>
    </w:lvl>
    <w:lvl w:ilvl="6">
      <w:start w:val="1"/>
      <w:numFmt w:val="decimal"/>
      <w:lvlText w:val="%1.%2.%3.%4.%5.%6.%7"/>
      <w:lvlJc w:val="left"/>
      <w:pPr>
        <w:ind w:left="-578" w:hanging="1440"/>
      </w:pPr>
    </w:lvl>
    <w:lvl w:ilvl="7">
      <w:start w:val="1"/>
      <w:numFmt w:val="decimal"/>
      <w:lvlText w:val="%1.%2.%3.%4.%5.%6.%7.%8"/>
      <w:lvlJc w:val="left"/>
      <w:pPr>
        <w:ind w:left="-578" w:hanging="1440"/>
      </w:pPr>
    </w:lvl>
    <w:lvl w:ilvl="8">
      <w:start w:val="1"/>
      <w:numFmt w:val="decimal"/>
      <w:lvlText w:val="%1.%2.%3.%4.%5.%6.%7.%8.%9"/>
      <w:lvlJc w:val="left"/>
      <w:pPr>
        <w:ind w:left="-218" w:hanging="1800"/>
      </w:pPr>
    </w:lvl>
  </w:abstractNum>
  <w:abstractNum w:abstractNumId="5" w15:restartNumberingAfterBreak="0">
    <w:nsid w:val="46684FC6"/>
    <w:multiLevelType w:val="multilevel"/>
    <w:tmpl w:val="5FF8382A"/>
    <w:lvl w:ilvl="0">
      <w:start w:val="4"/>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6F1B1CA8"/>
    <w:multiLevelType w:val="multilevel"/>
    <w:tmpl w:val="40127300"/>
    <w:lvl w:ilvl="0">
      <w:start w:val="1"/>
      <w:numFmt w:val="decimal"/>
      <w:pStyle w:val="B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73BE13AB"/>
    <w:multiLevelType w:val="multilevel"/>
    <w:tmpl w:val="5858933C"/>
    <w:lvl w:ilvl="0">
      <w:start w:val="1"/>
      <w:numFmt w:val="decimal"/>
      <w:pStyle w:val="References"/>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401439501">
    <w:abstractNumId w:val="7"/>
  </w:num>
  <w:num w:numId="2" w16cid:durableId="1916359401">
    <w:abstractNumId w:val="0"/>
  </w:num>
  <w:num w:numId="3" w16cid:durableId="918565599">
    <w:abstractNumId w:val="1"/>
  </w:num>
  <w:num w:numId="4" w16cid:durableId="1966151744">
    <w:abstractNumId w:val="5"/>
  </w:num>
  <w:num w:numId="5" w16cid:durableId="483667904">
    <w:abstractNumId w:val="2"/>
  </w:num>
  <w:num w:numId="6" w16cid:durableId="1480028702">
    <w:abstractNumId w:val="3"/>
  </w:num>
  <w:num w:numId="7" w16cid:durableId="147525453">
    <w:abstractNumId w:val="4"/>
  </w:num>
  <w:num w:numId="8" w16cid:durableId="64547098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0849"/>
    <w:rsid w:val="00790984"/>
    <w:rsid w:val="008A3824"/>
    <w:rsid w:val="008D3F07"/>
    <w:rsid w:val="00AC0FF2"/>
    <w:rsid w:val="00C507BD"/>
    <w:rsid w:val="00C84C7D"/>
    <w:rsid w:val="00CE6A67"/>
    <w:rsid w:val="00D44FF3"/>
    <w:rsid w:val="00E03DA4"/>
    <w:rsid w:val="00F00849"/>
    <w:rsid w:val="00F81A81"/>
    <w:rsid w:val="00FA396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D0503"/>
  <w15:docId w15:val="{38478377-DA88-4315-9A69-BC062E3364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ko-KR" w:bidi="ar-SA"/>
      </w:rPr>
    </w:rPrDefault>
    <w:pPrDefault>
      <w:pPr>
        <w:widowControl w:val="0"/>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633"/>
    <w:pPr>
      <w:autoSpaceDE w:val="0"/>
      <w:autoSpaceDN w:val="0"/>
      <w:adjustRightInd w:val="0"/>
    </w:pPr>
    <w:rPr>
      <w:lang w:eastAsia="en-US"/>
    </w:rPr>
  </w:style>
  <w:style w:type="paragraph" w:styleId="1">
    <w:name w:val="heading 1"/>
    <w:aliases w:val="h1,h11,h12,h13,h14,h15,h16,h17,h111,h121,h131,h141,h151,h161,h18,h112,h122,h132,h142,h152,h162,h19,h113,h123,h133,h143,h153,h163,H1,app heading 1,l1,Memo Heading 1,Heading 1_a,NMP Heading 1,1,Section of paper,Huvudrubrik,heading 1,Titre§"/>
    <w:basedOn w:val="a"/>
    <w:next w:val="a"/>
    <w:link w:val="1Char"/>
    <w:uiPriority w:val="9"/>
    <w:qFormat/>
    <w:rsid w:val="00CF34C6"/>
    <w:pPr>
      <w:outlineLvl w:val="0"/>
    </w:pPr>
    <w:rPr>
      <w:b/>
      <w:bCs/>
      <w:sz w:val="28"/>
      <w:szCs w:val="28"/>
    </w:rPr>
  </w:style>
  <w:style w:type="paragraph" w:styleId="2">
    <w:name w:val="heading 2"/>
    <w:aliases w:val="DO NOT USE_h2,h2,h21,2,Header 2,Header2,22,heading2,H2,2nd level,UNDERRUBRIK 1-2,H21,H22,H23,H24,H25,R2,E2,†berschrift 2,õberschrift 2,Head2A"/>
    <w:basedOn w:val="a"/>
    <w:next w:val="a"/>
    <w:uiPriority w:val="9"/>
    <w:unhideWhenUsed/>
    <w:qFormat/>
    <w:rsid w:val="00CF34C6"/>
    <w:pPr>
      <w:outlineLvl w:val="1"/>
    </w:pPr>
    <w:rPr>
      <w:b/>
      <w:bCs/>
      <w:sz w:val="24"/>
    </w:rPr>
  </w:style>
  <w:style w:type="paragraph" w:styleId="3">
    <w:name w:val="heading 3"/>
    <w:aliases w:val="h3,Underrubrik2,H3,Memo Heading 3,no break,0H,l3,3,list 3,Head 3,1.1.1,3rd level,Major Section Sub Section,PA Minor Section,Head3,Level 3 Head,31,32,33,311,321,34,312,322,35,313,323,36,314,324,37,315,325,38,316,326,39,317,327,310,318,328"/>
    <w:basedOn w:val="a"/>
    <w:next w:val="a"/>
    <w:link w:val="3Char"/>
    <w:uiPriority w:val="9"/>
    <w:unhideWhenUsed/>
    <w:qFormat/>
    <w:rsid w:val="00CF34C6"/>
    <w:pPr>
      <w:outlineLvl w:val="2"/>
    </w:pPr>
  </w:style>
  <w:style w:type="paragraph" w:styleId="4">
    <w:name w:val="heading 4"/>
    <w:aliases w:val="H4,h4,H41,h41,H42,h42,H43,h43,H411,h411,H421,h421,H44,h44,H412,h412,H422,h422,H431,h431,H45,h45,H413,h413,H423,h423,H432,h432,H46,h46,H47,h47,Memo Heading 4,Memo Heading 5,Heading,4,Memo,5"/>
    <w:basedOn w:val="a"/>
    <w:next w:val="a"/>
    <w:uiPriority w:val="9"/>
    <w:semiHidden/>
    <w:unhideWhenUsed/>
    <w:qFormat/>
    <w:rsid w:val="00CF34C6"/>
    <w:pPr>
      <w:keepNext/>
      <w:numPr>
        <w:ilvl w:val="3"/>
        <w:numId w:val="2"/>
      </w:numPr>
      <w:spacing w:before="240" w:after="60"/>
      <w:outlineLvl w:val="3"/>
    </w:pPr>
    <w:rPr>
      <w:b/>
      <w:bCs/>
      <w:sz w:val="28"/>
      <w:szCs w:val="28"/>
    </w:rPr>
  </w:style>
  <w:style w:type="paragraph" w:styleId="5">
    <w:name w:val="heading 5"/>
    <w:aliases w:val="h5,Heading5"/>
    <w:basedOn w:val="a"/>
    <w:next w:val="a"/>
    <w:uiPriority w:val="9"/>
    <w:semiHidden/>
    <w:unhideWhenUsed/>
    <w:qFormat/>
    <w:rsid w:val="00CF34C6"/>
    <w:pPr>
      <w:numPr>
        <w:ilvl w:val="4"/>
        <w:numId w:val="2"/>
      </w:numPr>
      <w:spacing w:before="240" w:after="60"/>
      <w:outlineLvl w:val="4"/>
    </w:pPr>
    <w:rPr>
      <w:b/>
      <w:bCs/>
      <w:i/>
      <w:iCs/>
      <w:sz w:val="26"/>
      <w:szCs w:val="26"/>
    </w:rPr>
  </w:style>
  <w:style w:type="paragraph" w:styleId="6">
    <w:name w:val="heading 6"/>
    <w:basedOn w:val="a"/>
    <w:next w:val="a"/>
    <w:uiPriority w:val="9"/>
    <w:semiHidden/>
    <w:unhideWhenUsed/>
    <w:qFormat/>
    <w:rsid w:val="00CF34C6"/>
    <w:pPr>
      <w:numPr>
        <w:ilvl w:val="5"/>
        <w:numId w:val="2"/>
      </w:numPr>
      <w:spacing w:before="240" w:after="60"/>
      <w:outlineLvl w:val="5"/>
    </w:pPr>
    <w:rPr>
      <w:b/>
      <w:bCs/>
    </w:rPr>
  </w:style>
  <w:style w:type="paragraph" w:styleId="7">
    <w:name w:val="heading 7"/>
    <w:basedOn w:val="a"/>
    <w:next w:val="a"/>
    <w:qFormat/>
    <w:rsid w:val="00CF34C6"/>
    <w:pPr>
      <w:numPr>
        <w:ilvl w:val="6"/>
        <w:numId w:val="2"/>
      </w:numPr>
      <w:spacing w:before="240" w:after="60"/>
      <w:outlineLvl w:val="6"/>
    </w:pPr>
    <w:rPr>
      <w:sz w:val="24"/>
      <w:szCs w:val="24"/>
    </w:rPr>
  </w:style>
  <w:style w:type="paragraph" w:styleId="8">
    <w:name w:val="heading 8"/>
    <w:basedOn w:val="a"/>
    <w:next w:val="a"/>
    <w:qFormat/>
    <w:rsid w:val="00CF34C6"/>
    <w:pPr>
      <w:numPr>
        <w:ilvl w:val="7"/>
        <w:numId w:val="2"/>
      </w:numPr>
      <w:spacing w:before="240" w:after="60"/>
      <w:outlineLvl w:val="7"/>
    </w:pPr>
    <w:rPr>
      <w:i/>
      <w:iCs/>
      <w:sz w:val="24"/>
      <w:szCs w:val="24"/>
    </w:rPr>
  </w:style>
  <w:style w:type="paragraph" w:styleId="9">
    <w:name w:val="heading 9"/>
    <w:aliases w:val="Figure Heading,FH"/>
    <w:basedOn w:val="a"/>
    <w:next w:val="a"/>
    <w:qFormat/>
    <w:rsid w:val="00CF34C6"/>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CF34C6"/>
    <w:rPr>
      <w:sz w:val="20"/>
      <w:szCs w:val="20"/>
    </w:rPr>
  </w:style>
  <w:style w:type="character" w:styleId="a5">
    <w:name w:val="Hyperlink"/>
    <w:rsid w:val="00CF34C6"/>
    <w:rPr>
      <w:color w:val="0000FF"/>
      <w:u w:val="single"/>
    </w:rPr>
  </w:style>
  <w:style w:type="paragraph" w:styleId="a6">
    <w:name w:val="caption"/>
    <w:aliases w:val="cap,cap Char,Caption Char,Caption Char1 Char,cap Char Char1,Caption Char Char1 Char,cap Char2,cap Char2 Char,Caption Char C...,Ca,cap1,cap2,cap11,Légende-figure,Légende-figure Char,Beschrifubg,Beschriftung Char,label,cap11 Char Char Char,caption"/>
    <w:basedOn w:val="a"/>
    <w:next w:val="a"/>
    <w:link w:val="Char0"/>
    <w:qFormat/>
    <w:rsid w:val="00CF34C6"/>
    <w:pPr>
      <w:spacing w:before="120"/>
    </w:pPr>
    <w:rPr>
      <w:b/>
      <w:bCs/>
      <w:sz w:val="20"/>
      <w:szCs w:val="20"/>
    </w:rPr>
  </w:style>
  <w:style w:type="paragraph" w:customStyle="1" w:styleId="Normal">
    <w:name w:val="Normal."/>
    <w:rsid w:val="00CF34C6"/>
    <w:pPr>
      <w:spacing w:line="180" w:lineRule="atLeast"/>
    </w:pPr>
    <w:rPr>
      <w:rFonts w:eastAsia="Batang"/>
      <w:kern w:val="2"/>
      <w:sz w:val="18"/>
      <w:szCs w:val="18"/>
      <w:lang w:eastAsia="en-US"/>
    </w:rPr>
  </w:style>
  <w:style w:type="paragraph" w:customStyle="1" w:styleId="EX">
    <w:name w:val="EX"/>
    <w:basedOn w:val="a"/>
    <w:rsid w:val="00CF34C6"/>
    <w:pPr>
      <w:keepLines/>
      <w:widowControl/>
      <w:autoSpaceDE/>
      <w:autoSpaceDN/>
      <w:adjustRightInd/>
      <w:spacing w:after="180"/>
      <w:ind w:left="1702" w:hanging="1418"/>
      <w:jc w:val="left"/>
    </w:pPr>
    <w:rPr>
      <w:sz w:val="20"/>
      <w:szCs w:val="20"/>
    </w:rPr>
  </w:style>
  <w:style w:type="paragraph" w:styleId="a7">
    <w:name w:val="List Bullet"/>
    <w:basedOn w:val="a8"/>
    <w:rsid w:val="00CF34C6"/>
    <w:pPr>
      <w:widowControl/>
      <w:autoSpaceDE/>
      <w:autoSpaceDN/>
      <w:adjustRightInd/>
      <w:spacing w:after="180"/>
      <w:ind w:left="568" w:hanging="284"/>
      <w:jc w:val="left"/>
    </w:pPr>
    <w:rPr>
      <w:sz w:val="20"/>
      <w:szCs w:val="20"/>
    </w:rPr>
  </w:style>
  <w:style w:type="paragraph" w:styleId="a8">
    <w:name w:val="List"/>
    <w:basedOn w:val="a"/>
    <w:rsid w:val="00CF34C6"/>
    <w:pPr>
      <w:ind w:left="360" w:hanging="360"/>
    </w:pPr>
  </w:style>
  <w:style w:type="paragraph" w:styleId="20">
    <w:name w:val="Body Text 2"/>
    <w:basedOn w:val="a"/>
    <w:rsid w:val="00CF34C6"/>
    <w:pPr>
      <w:widowControl/>
      <w:spacing w:after="0"/>
      <w:jc w:val="left"/>
    </w:pPr>
    <w:rPr>
      <w:szCs w:val="20"/>
    </w:rPr>
  </w:style>
  <w:style w:type="paragraph" w:styleId="a9">
    <w:name w:val="Balloon Text"/>
    <w:basedOn w:val="a"/>
    <w:semiHidden/>
    <w:rsid w:val="00CF34C6"/>
    <w:rPr>
      <w:rFonts w:ascii="Tahoma" w:hAnsi="Tahoma" w:cs="Tahoma"/>
      <w:sz w:val="16"/>
      <w:szCs w:val="16"/>
    </w:rPr>
  </w:style>
  <w:style w:type="paragraph" w:customStyle="1" w:styleId="References">
    <w:name w:val="References"/>
    <w:basedOn w:val="a"/>
    <w:rsid w:val="00CF34C6"/>
    <w:pPr>
      <w:widowControl/>
      <w:numPr>
        <w:numId w:val="1"/>
      </w:numPr>
      <w:adjustRightInd/>
      <w:spacing w:after="0"/>
    </w:pPr>
    <w:rPr>
      <w:sz w:val="16"/>
      <w:szCs w:val="16"/>
    </w:rPr>
  </w:style>
  <w:style w:type="character" w:styleId="aa">
    <w:name w:val="FollowedHyperlink"/>
    <w:rsid w:val="00CF34C6"/>
    <w:rPr>
      <w:color w:val="800080"/>
      <w:u w:val="single"/>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CF34C6"/>
    <w:rPr>
      <w:sz w:val="20"/>
      <w:szCs w:val="20"/>
    </w:rPr>
  </w:style>
  <w:style w:type="character" w:styleId="ac">
    <w:name w:val="footnote reference"/>
    <w:semiHidden/>
    <w:rsid w:val="00CF34C6"/>
    <w:rPr>
      <w:vertAlign w:val="superscript"/>
    </w:rPr>
  </w:style>
  <w:style w:type="table" w:styleId="ad">
    <w:name w:val="Table Grid"/>
    <w:basedOn w:val="a1"/>
    <w:qFormat/>
    <w:rsid w:val="00097C99"/>
    <w:pPr>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annotation reference"/>
    <w:rsid w:val="000C278D"/>
    <w:rPr>
      <w:sz w:val="16"/>
      <w:szCs w:val="16"/>
    </w:rPr>
  </w:style>
  <w:style w:type="paragraph" w:styleId="af">
    <w:name w:val="annotation text"/>
    <w:basedOn w:val="a"/>
    <w:rsid w:val="000C278D"/>
    <w:rPr>
      <w:sz w:val="20"/>
      <w:szCs w:val="20"/>
    </w:rPr>
  </w:style>
  <w:style w:type="paragraph" w:styleId="af0">
    <w:name w:val="annotation subject"/>
    <w:basedOn w:val="af"/>
    <w:next w:val="af"/>
    <w:rsid w:val="000C278D"/>
    <w:rPr>
      <w:b/>
      <w:bCs/>
    </w:rPr>
  </w:style>
  <w:style w:type="paragraph" w:customStyle="1" w:styleId="CharCharCharChar">
    <w:name w:val="Char Char Char Char"/>
    <w:semiHidden/>
    <w:rsid w:val="00822EA7"/>
    <w:pPr>
      <w:keepNext/>
      <w:numPr>
        <w:numId w:val="3"/>
      </w:numPr>
      <w:autoSpaceDE w:val="0"/>
      <w:autoSpaceDN w:val="0"/>
      <w:adjustRightInd w:val="0"/>
      <w:spacing w:before="60" w:after="60"/>
    </w:pPr>
    <w:rPr>
      <w:rFonts w:ascii="Arial" w:hAnsi="Arial" w:cs="Arial"/>
      <w:color w:val="0000FF"/>
      <w:kern w:val="2"/>
      <w:lang w:eastAsia="zh-CN"/>
    </w:rPr>
  </w:style>
  <w:style w:type="paragraph" w:styleId="af1">
    <w:name w:val="Body Text Indent"/>
    <w:basedOn w:val="a"/>
    <w:rsid w:val="00DD5754"/>
    <w:pPr>
      <w:ind w:leftChars="200" w:left="420"/>
    </w:pPr>
  </w:style>
  <w:style w:type="paragraph" w:styleId="af2">
    <w:name w:val="Body Text First Indent"/>
    <w:basedOn w:val="a4"/>
    <w:rsid w:val="005D7168"/>
    <w:pPr>
      <w:ind w:firstLineChars="100" w:firstLine="420"/>
    </w:pPr>
    <w:rPr>
      <w:sz w:val="22"/>
      <w:szCs w:val="22"/>
    </w:rPr>
  </w:style>
  <w:style w:type="paragraph" w:customStyle="1" w:styleId="cleanCharChar">
    <w:name w:val="clean Char Char"/>
    <w:semiHidden/>
    <w:rsid w:val="005D7168"/>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EQ">
    <w:name w:val="EQ"/>
    <w:basedOn w:val="a"/>
    <w:next w:val="a"/>
    <w:link w:val="EQChar"/>
    <w:rsid w:val="001A25DF"/>
    <w:pPr>
      <w:keepLines/>
      <w:widowControl/>
      <w:tabs>
        <w:tab w:val="center" w:pos="4536"/>
        <w:tab w:val="right" w:pos="9072"/>
      </w:tabs>
      <w:autoSpaceDE/>
      <w:autoSpaceDN/>
      <w:adjustRightInd/>
      <w:spacing w:after="180"/>
      <w:jc w:val="left"/>
    </w:pPr>
    <w:rPr>
      <w:rFonts w:eastAsia="MS Mincho"/>
      <w:noProof/>
      <w:sz w:val="20"/>
      <w:szCs w:val="20"/>
    </w:rPr>
  </w:style>
  <w:style w:type="paragraph" w:customStyle="1" w:styleId="PaperTableCell">
    <w:name w:val="PaperTableCell"/>
    <w:basedOn w:val="a"/>
    <w:rsid w:val="001A25DF"/>
    <w:pPr>
      <w:autoSpaceDE/>
      <w:autoSpaceDN/>
      <w:adjustRightInd/>
      <w:spacing w:after="0"/>
    </w:pPr>
    <w:rPr>
      <w:rFonts w:ascii="Century" w:eastAsia="MS Mincho" w:hAnsi="Century"/>
      <w:noProof/>
      <w:kern w:val="2"/>
      <w:sz w:val="16"/>
      <w:szCs w:val="24"/>
    </w:rPr>
  </w:style>
  <w:style w:type="paragraph" w:styleId="af3">
    <w:name w:val="Normal (Web)"/>
    <w:basedOn w:val="a"/>
    <w:uiPriority w:val="99"/>
    <w:rsid w:val="004D5A1E"/>
    <w:pPr>
      <w:widowControl/>
      <w:autoSpaceDE/>
      <w:autoSpaceDN/>
      <w:adjustRightInd/>
      <w:spacing w:before="100" w:beforeAutospacing="1" w:after="100" w:afterAutospacing="1"/>
      <w:jc w:val="left"/>
    </w:pPr>
    <w:rPr>
      <w:rFonts w:ascii="SimSun" w:hAnsi="SimSun" w:cs="SimSun"/>
      <w:sz w:val="24"/>
      <w:szCs w:val="24"/>
      <w:lang w:eastAsia="zh-CN"/>
    </w:rPr>
  </w:style>
  <w:style w:type="paragraph" w:customStyle="1" w:styleId="ErrorCharCharCharCharCharCharCharCharCharCharCharChar">
    <w:name w:val="Error Char Char Char Char Char Char Char Char Char Char Char Char"/>
    <w:semiHidden/>
    <w:rsid w:val="00E5578C"/>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styleId="af4">
    <w:name w:val="Document Map"/>
    <w:basedOn w:val="a"/>
    <w:semiHidden/>
    <w:rsid w:val="00751CE5"/>
    <w:pPr>
      <w:shd w:val="clear" w:color="auto" w:fill="000080"/>
    </w:pPr>
  </w:style>
  <w:style w:type="paragraph" w:styleId="af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1"/>
    <w:rsid w:val="005A3673"/>
    <w:pPr>
      <w:tabs>
        <w:tab w:val="center" w:pos="4252"/>
        <w:tab w:val="right" w:pos="8504"/>
      </w:tabs>
      <w:wordWrap w:val="0"/>
      <w:adjustRightInd/>
      <w:snapToGrid w:val="0"/>
      <w:spacing w:after="0"/>
    </w:pPr>
    <w:rPr>
      <w:rFonts w:eastAsia="Dotum"/>
      <w:kern w:val="2"/>
      <w:sz w:val="20"/>
      <w:szCs w:val="24"/>
      <w:lang w:eastAsia="ko-KR"/>
    </w:rPr>
  </w:style>
  <w:style w:type="paragraph" w:styleId="af6">
    <w:name w:val="footer"/>
    <w:basedOn w:val="a"/>
    <w:rsid w:val="006F7E9B"/>
    <w:pPr>
      <w:tabs>
        <w:tab w:val="center" w:pos="4320"/>
        <w:tab w:val="right" w:pos="8640"/>
      </w:tabs>
    </w:pPr>
  </w:style>
  <w:style w:type="character" w:customStyle="1" w:styleId="Char0">
    <w:name w:val="캡션 Char"/>
    <w:aliases w:val="cap Char1,cap Char Char,Caption Char Char,Caption Char1 Char Char,cap Char Char1 Char,Caption Char Char1 Char Char,cap Char2 Char1,cap Char2 Char Char,Caption Char C... Char,Ca Char,cap1 Char,cap2 Char,cap11 Char,Légende-figure Char1,label Char"/>
    <w:link w:val="a6"/>
    <w:rsid w:val="00A8157C"/>
    <w:rPr>
      <w:b/>
      <w:bCs/>
      <w:lang w:val="en-GB" w:eastAsia="en-US"/>
    </w:rPr>
  </w:style>
  <w:style w:type="paragraph" w:customStyle="1" w:styleId="address">
    <w:name w:val="address"/>
    <w:rsid w:val="00A8157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B1">
    <w:name w:val="B1"/>
    <w:basedOn w:val="a8"/>
    <w:link w:val="B1Char"/>
    <w:qFormat/>
    <w:rsid w:val="00764B9F"/>
    <w:pPr>
      <w:widowControl/>
      <w:autoSpaceDE/>
      <w:autoSpaceDN/>
      <w:adjustRightInd/>
      <w:spacing w:after="180"/>
      <w:ind w:left="568" w:hanging="284"/>
      <w:jc w:val="left"/>
    </w:pPr>
    <w:rPr>
      <w:rFonts w:eastAsia="MS Mincho"/>
      <w:sz w:val="20"/>
      <w:szCs w:val="20"/>
      <w:lang w:eastAsia="de-DE"/>
    </w:rPr>
  </w:style>
  <w:style w:type="paragraph" w:customStyle="1" w:styleId="TAH">
    <w:name w:val="TAH"/>
    <w:basedOn w:val="TAC"/>
    <w:link w:val="TAHCar"/>
    <w:qFormat/>
    <w:rsid w:val="005E1B0F"/>
    <w:rPr>
      <w:b/>
    </w:rPr>
  </w:style>
  <w:style w:type="paragraph" w:customStyle="1" w:styleId="TAC">
    <w:name w:val="TAC"/>
    <w:basedOn w:val="a"/>
    <w:link w:val="TACChar"/>
    <w:qFormat/>
    <w:rsid w:val="005E1B0F"/>
    <w:pPr>
      <w:keepNext/>
      <w:keepLines/>
      <w:widowControl/>
      <w:autoSpaceDE/>
      <w:autoSpaceDN/>
      <w:adjustRightInd/>
      <w:spacing w:after="0"/>
      <w:jc w:val="center"/>
    </w:pPr>
    <w:rPr>
      <w:sz w:val="18"/>
      <w:szCs w:val="20"/>
    </w:rPr>
  </w:style>
  <w:style w:type="character" w:customStyle="1" w:styleId="TACChar">
    <w:name w:val="TAC Char"/>
    <w:link w:val="TAC"/>
    <w:qFormat/>
    <w:rsid w:val="005E1B0F"/>
    <w:rPr>
      <w:sz w:val="18"/>
      <w:lang w:val="en-GB" w:eastAsia="en-US"/>
    </w:rPr>
  </w:style>
  <w:style w:type="paragraph" w:customStyle="1" w:styleId="TH">
    <w:name w:val="TH"/>
    <w:basedOn w:val="a"/>
    <w:link w:val="THChar"/>
    <w:qFormat/>
    <w:rsid w:val="00D644CA"/>
    <w:pPr>
      <w:keepNext/>
      <w:keepLines/>
      <w:widowControl/>
      <w:overflowPunct w:val="0"/>
      <w:spacing w:before="60" w:after="180"/>
      <w:jc w:val="center"/>
      <w:textAlignment w:val="baseline"/>
    </w:pPr>
    <w:rPr>
      <w:rFonts w:eastAsia="Batang"/>
      <w:b/>
      <w:sz w:val="20"/>
      <w:szCs w:val="20"/>
      <w:lang w:eastAsia="ja-JP"/>
    </w:rPr>
  </w:style>
  <w:style w:type="character" w:customStyle="1" w:styleId="THChar">
    <w:name w:val="TH Char"/>
    <w:link w:val="TH"/>
    <w:qFormat/>
    <w:rsid w:val="00D644CA"/>
    <w:rPr>
      <w:rFonts w:eastAsia="Batang"/>
      <w:b/>
      <w:lang w:val="en-GB" w:eastAsia="ja-JP"/>
    </w:rPr>
  </w:style>
  <w:style w:type="paragraph" w:customStyle="1" w:styleId="H6">
    <w:name w:val="H6"/>
    <w:basedOn w:val="5"/>
    <w:next w:val="a"/>
    <w:rsid w:val="00AF2E61"/>
    <w:pPr>
      <w:keepNext/>
      <w:keepLines/>
      <w:widowControl/>
      <w:numPr>
        <w:ilvl w:val="0"/>
        <w:numId w:val="0"/>
      </w:numPr>
      <w:overflowPunct w:val="0"/>
      <w:spacing w:before="120" w:after="180"/>
      <w:ind w:left="1985" w:hanging="1985"/>
      <w:jc w:val="left"/>
      <w:textAlignment w:val="baseline"/>
      <w:outlineLvl w:val="9"/>
    </w:pPr>
    <w:rPr>
      <w:rFonts w:ascii="Arial" w:eastAsia="Batang" w:hAnsi="Arial"/>
      <w:b w:val="0"/>
      <w:bCs w:val="0"/>
      <w:i w:val="0"/>
      <w:iCs w:val="0"/>
      <w:sz w:val="20"/>
      <w:szCs w:val="20"/>
      <w:lang w:eastAsia="ja-JP"/>
    </w:rPr>
  </w:style>
  <w:style w:type="paragraph" w:styleId="90">
    <w:name w:val="toc 9"/>
    <w:basedOn w:val="80"/>
    <w:semiHidden/>
    <w:rsid w:val="00AF2E61"/>
    <w:pPr>
      <w:ind w:left="1418" w:hanging="1418"/>
    </w:pPr>
  </w:style>
  <w:style w:type="paragraph" w:styleId="80">
    <w:name w:val="toc 8"/>
    <w:basedOn w:val="10"/>
    <w:semiHidden/>
    <w:rsid w:val="00AF2E61"/>
    <w:pPr>
      <w:spacing w:before="180"/>
      <w:ind w:left="2693" w:hanging="2693"/>
    </w:pPr>
    <w:rPr>
      <w:b/>
    </w:rPr>
  </w:style>
  <w:style w:type="paragraph" w:styleId="10">
    <w:name w:val="toc 1"/>
    <w:semiHidden/>
    <w:rsid w:val="00AF2E61"/>
    <w:pPr>
      <w:keepNext/>
      <w:keepLines/>
      <w:tabs>
        <w:tab w:val="right" w:leader="dot" w:pos="9639"/>
      </w:tabs>
      <w:overflowPunct w:val="0"/>
      <w:autoSpaceDE w:val="0"/>
      <w:autoSpaceDN w:val="0"/>
      <w:adjustRightInd w:val="0"/>
      <w:spacing w:before="120"/>
      <w:ind w:left="567" w:right="425" w:hanging="567"/>
      <w:textAlignment w:val="baseline"/>
    </w:pPr>
    <w:rPr>
      <w:rFonts w:eastAsia="Batang"/>
      <w:noProof/>
      <w:lang w:val="en-GB" w:eastAsia="ja-JP"/>
    </w:rPr>
  </w:style>
  <w:style w:type="character" w:customStyle="1" w:styleId="ZGSM">
    <w:name w:val="ZGSM"/>
    <w:rsid w:val="00AF2E61"/>
  </w:style>
  <w:style w:type="paragraph" w:customStyle="1" w:styleId="ZD">
    <w:name w:val="ZD"/>
    <w:rsid w:val="00AF2E61"/>
    <w:pPr>
      <w:framePr w:wrap="notBeside" w:vAnchor="page" w:hAnchor="margin" w:y="15764"/>
      <w:overflowPunct w:val="0"/>
      <w:autoSpaceDE w:val="0"/>
      <w:autoSpaceDN w:val="0"/>
      <w:adjustRightInd w:val="0"/>
      <w:textAlignment w:val="baseline"/>
    </w:pPr>
    <w:rPr>
      <w:rFonts w:ascii="Arial" w:eastAsia="Batang" w:hAnsi="Arial"/>
      <w:noProof/>
      <w:sz w:val="32"/>
      <w:lang w:val="en-GB" w:eastAsia="ja-JP"/>
    </w:rPr>
  </w:style>
  <w:style w:type="paragraph" w:styleId="50">
    <w:name w:val="toc 5"/>
    <w:basedOn w:val="40"/>
    <w:semiHidden/>
    <w:rsid w:val="00AF2E61"/>
    <w:pPr>
      <w:ind w:left="1701" w:hanging="1701"/>
    </w:pPr>
  </w:style>
  <w:style w:type="paragraph" w:styleId="40">
    <w:name w:val="toc 4"/>
    <w:basedOn w:val="30"/>
    <w:semiHidden/>
    <w:rsid w:val="00AF2E61"/>
    <w:pPr>
      <w:ind w:left="1418" w:hanging="1418"/>
    </w:pPr>
  </w:style>
  <w:style w:type="paragraph" w:styleId="30">
    <w:name w:val="toc 3"/>
    <w:basedOn w:val="21"/>
    <w:semiHidden/>
    <w:rsid w:val="00AF2E61"/>
    <w:pPr>
      <w:ind w:left="1134" w:hanging="1134"/>
    </w:pPr>
  </w:style>
  <w:style w:type="paragraph" w:styleId="21">
    <w:name w:val="toc 2"/>
    <w:basedOn w:val="10"/>
    <w:semiHidden/>
    <w:rsid w:val="00AF2E61"/>
    <w:pPr>
      <w:keepNext w:val="0"/>
      <w:spacing w:before="0"/>
      <w:ind w:left="851" w:hanging="851"/>
    </w:pPr>
    <w:rPr>
      <w:sz w:val="20"/>
    </w:rPr>
  </w:style>
  <w:style w:type="paragraph" w:styleId="11">
    <w:name w:val="index 1"/>
    <w:basedOn w:val="a"/>
    <w:semiHidden/>
    <w:rsid w:val="00AF2E61"/>
    <w:pPr>
      <w:keepLines/>
      <w:widowControl/>
      <w:overflowPunct w:val="0"/>
      <w:spacing w:after="0"/>
      <w:jc w:val="left"/>
      <w:textAlignment w:val="baseline"/>
    </w:pPr>
    <w:rPr>
      <w:rFonts w:eastAsia="Batang"/>
      <w:sz w:val="20"/>
      <w:szCs w:val="20"/>
      <w:lang w:eastAsia="ja-JP"/>
    </w:rPr>
  </w:style>
  <w:style w:type="paragraph" w:styleId="22">
    <w:name w:val="index 2"/>
    <w:basedOn w:val="11"/>
    <w:semiHidden/>
    <w:rsid w:val="00AF2E61"/>
    <w:pPr>
      <w:ind w:left="284"/>
    </w:pPr>
  </w:style>
  <w:style w:type="paragraph" w:customStyle="1" w:styleId="TT">
    <w:name w:val="TT"/>
    <w:basedOn w:val="1"/>
    <w:next w:val="a"/>
    <w:rsid w:val="00AF2E61"/>
    <w:pPr>
      <w:keepNext/>
      <w:keepLines/>
      <w:widowControl/>
      <w:pBdr>
        <w:top w:val="single" w:sz="12" w:space="3" w:color="auto"/>
      </w:pBdr>
      <w:overflowPunct w:val="0"/>
      <w:spacing w:before="240" w:after="180"/>
      <w:ind w:left="1134" w:hanging="1134"/>
      <w:jc w:val="left"/>
      <w:textAlignment w:val="baseline"/>
      <w:outlineLvl w:val="9"/>
    </w:pPr>
    <w:rPr>
      <w:rFonts w:ascii="Arial" w:eastAsia="Batang" w:hAnsi="Arial"/>
      <w:b w:val="0"/>
      <w:bCs w:val="0"/>
      <w:sz w:val="36"/>
      <w:szCs w:val="20"/>
      <w:lang w:eastAsia="ja-JP"/>
    </w:rPr>
  </w:style>
  <w:style w:type="paragraph" w:customStyle="1" w:styleId="NF">
    <w:name w:val="NF"/>
    <w:basedOn w:val="NO"/>
    <w:rsid w:val="00AF2E61"/>
    <w:pPr>
      <w:keepNext/>
      <w:spacing w:after="0"/>
    </w:pPr>
    <w:rPr>
      <w:rFonts w:ascii="Arial" w:hAnsi="Arial"/>
      <w:sz w:val="18"/>
    </w:rPr>
  </w:style>
  <w:style w:type="paragraph" w:customStyle="1" w:styleId="NO">
    <w:name w:val="NO"/>
    <w:basedOn w:val="a"/>
    <w:link w:val="NOChar"/>
    <w:rsid w:val="00AF2E61"/>
    <w:pPr>
      <w:keepLines/>
      <w:widowControl/>
      <w:overflowPunct w:val="0"/>
      <w:spacing w:after="180"/>
      <w:ind w:left="1135" w:hanging="851"/>
      <w:jc w:val="left"/>
      <w:textAlignment w:val="baseline"/>
    </w:pPr>
    <w:rPr>
      <w:rFonts w:eastAsia="Batang"/>
      <w:sz w:val="20"/>
      <w:szCs w:val="20"/>
      <w:lang w:eastAsia="ja-JP"/>
    </w:rPr>
  </w:style>
  <w:style w:type="character" w:customStyle="1" w:styleId="NOChar">
    <w:name w:val="NO Char"/>
    <w:link w:val="NO"/>
    <w:rsid w:val="00AF2E61"/>
    <w:rPr>
      <w:rFonts w:eastAsia="Batang"/>
      <w:lang w:val="en-GB" w:eastAsia="ja-JP"/>
    </w:rPr>
  </w:style>
  <w:style w:type="paragraph" w:customStyle="1" w:styleId="PL">
    <w:name w:val="PL"/>
    <w:rsid w:val="00AF2E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Batang" w:hAnsi="Courier New"/>
      <w:noProof/>
      <w:sz w:val="16"/>
      <w:lang w:val="en-GB" w:eastAsia="ja-JP"/>
    </w:rPr>
  </w:style>
  <w:style w:type="paragraph" w:customStyle="1" w:styleId="TAR">
    <w:name w:val="TAR"/>
    <w:basedOn w:val="TAL"/>
    <w:rsid w:val="00AF2E61"/>
    <w:pPr>
      <w:jc w:val="right"/>
    </w:pPr>
  </w:style>
  <w:style w:type="paragraph" w:customStyle="1" w:styleId="TAL">
    <w:name w:val="TAL"/>
    <w:basedOn w:val="a"/>
    <w:link w:val="TALCar"/>
    <w:qFormat/>
    <w:rsid w:val="00AF2E61"/>
    <w:pPr>
      <w:keepNext/>
      <w:keepLines/>
      <w:widowControl/>
      <w:overflowPunct w:val="0"/>
      <w:spacing w:after="0"/>
      <w:jc w:val="left"/>
      <w:textAlignment w:val="baseline"/>
    </w:pPr>
    <w:rPr>
      <w:rFonts w:eastAsia="Batang"/>
      <w:sz w:val="18"/>
      <w:szCs w:val="20"/>
      <w:lang w:eastAsia="ja-JP"/>
    </w:rPr>
  </w:style>
  <w:style w:type="paragraph" w:styleId="23">
    <w:name w:val="List Number 2"/>
    <w:basedOn w:val="af7"/>
    <w:rsid w:val="00AF2E61"/>
    <w:pPr>
      <w:ind w:left="851"/>
    </w:pPr>
  </w:style>
  <w:style w:type="paragraph" w:styleId="af7">
    <w:name w:val="List Number"/>
    <w:basedOn w:val="a8"/>
    <w:rsid w:val="00AF2E61"/>
    <w:pPr>
      <w:widowControl/>
      <w:overflowPunct w:val="0"/>
      <w:spacing w:after="180"/>
      <w:ind w:left="568" w:hanging="284"/>
      <w:jc w:val="left"/>
      <w:textAlignment w:val="baseline"/>
    </w:pPr>
    <w:rPr>
      <w:rFonts w:eastAsia="Batang"/>
      <w:sz w:val="20"/>
      <w:szCs w:val="20"/>
      <w:lang w:eastAsia="ja-JP"/>
    </w:rPr>
  </w:style>
  <w:style w:type="paragraph" w:customStyle="1" w:styleId="LD">
    <w:name w:val="LD"/>
    <w:rsid w:val="00AF2E61"/>
    <w:pPr>
      <w:keepNext/>
      <w:keepLines/>
      <w:overflowPunct w:val="0"/>
      <w:autoSpaceDE w:val="0"/>
      <w:autoSpaceDN w:val="0"/>
      <w:adjustRightInd w:val="0"/>
      <w:spacing w:line="180" w:lineRule="exact"/>
      <w:textAlignment w:val="baseline"/>
    </w:pPr>
    <w:rPr>
      <w:rFonts w:ascii="Courier New" w:eastAsia="Batang" w:hAnsi="Courier New"/>
      <w:noProof/>
      <w:lang w:val="en-GB" w:eastAsia="ja-JP"/>
    </w:rPr>
  </w:style>
  <w:style w:type="paragraph" w:customStyle="1" w:styleId="FP">
    <w:name w:val="FP"/>
    <w:basedOn w:val="a"/>
    <w:rsid w:val="00AF2E61"/>
    <w:pPr>
      <w:widowControl/>
      <w:overflowPunct w:val="0"/>
      <w:spacing w:after="0"/>
      <w:jc w:val="left"/>
      <w:textAlignment w:val="baseline"/>
    </w:pPr>
    <w:rPr>
      <w:rFonts w:eastAsia="Batang"/>
      <w:sz w:val="20"/>
      <w:szCs w:val="20"/>
      <w:lang w:eastAsia="ja-JP"/>
    </w:rPr>
  </w:style>
  <w:style w:type="paragraph" w:customStyle="1" w:styleId="NW">
    <w:name w:val="NW"/>
    <w:basedOn w:val="NO"/>
    <w:rsid w:val="00AF2E61"/>
    <w:pPr>
      <w:spacing w:after="0"/>
    </w:pPr>
  </w:style>
  <w:style w:type="paragraph" w:customStyle="1" w:styleId="EW">
    <w:name w:val="EW"/>
    <w:basedOn w:val="EX"/>
    <w:rsid w:val="00AF2E61"/>
    <w:pPr>
      <w:overflowPunct w:val="0"/>
      <w:autoSpaceDE w:val="0"/>
      <w:autoSpaceDN w:val="0"/>
      <w:adjustRightInd w:val="0"/>
      <w:spacing w:after="0"/>
      <w:textAlignment w:val="baseline"/>
    </w:pPr>
    <w:rPr>
      <w:rFonts w:eastAsia="Batang"/>
      <w:lang w:eastAsia="ja-JP"/>
    </w:rPr>
  </w:style>
  <w:style w:type="paragraph" w:styleId="60">
    <w:name w:val="toc 6"/>
    <w:basedOn w:val="50"/>
    <w:next w:val="a"/>
    <w:semiHidden/>
    <w:rsid w:val="00AF2E61"/>
    <w:pPr>
      <w:ind w:left="1985" w:hanging="1985"/>
    </w:pPr>
  </w:style>
  <w:style w:type="paragraph" w:styleId="70">
    <w:name w:val="toc 7"/>
    <w:basedOn w:val="60"/>
    <w:next w:val="a"/>
    <w:semiHidden/>
    <w:rsid w:val="00AF2E61"/>
    <w:pPr>
      <w:ind w:left="2268" w:hanging="2268"/>
    </w:pPr>
  </w:style>
  <w:style w:type="paragraph" w:styleId="24">
    <w:name w:val="List Bullet 2"/>
    <w:basedOn w:val="a7"/>
    <w:rsid w:val="00AF2E61"/>
    <w:pPr>
      <w:overflowPunct w:val="0"/>
      <w:autoSpaceDE w:val="0"/>
      <w:autoSpaceDN w:val="0"/>
      <w:adjustRightInd w:val="0"/>
      <w:ind w:left="851"/>
      <w:textAlignment w:val="baseline"/>
    </w:pPr>
    <w:rPr>
      <w:rFonts w:eastAsia="Batang"/>
      <w:lang w:eastAsia="ja-JP"/>
    </w:rPr>
  </w:style>
  <w:style w:type="paragraph" w:customStyle="1" w:styleId="EditorsNote">
    <w:name w:val="Editor's Note"/>
    <w:basedOn w:val="NO"/>
    <w:rsid w:val="00AF2E61"/>
    <w:rPr>
      <w:color w:val="FF0000"/>
    </w:rPr>
  </w:style>
  <w:style w:type="paragraph" w:customStyle="1" w:styleId="ZA">
    <w:name w:val="ZA"/>
    <w:rsid w:val="00AF2E61"/>
    <w:pPr>
      <w:framePr w:w="10206" w:h="794" w:hRule="exact" w:wrap="notBeside" w:vAnchor="page" w:hAnchor="margin" w:y="1135"/>
      <w:pBdr>
        <w:bottom w:val="single" w:sz="12" w:space="1" w:color="auto"/>
      </w:pBdr>
      <w:overflowPunct w:val="0"/>
      <w:autoSpaceDE w:val="0"/>
      <w:autoSpaceDN w:val="0"/>
      <w:adjustRightInd w:val="0"/>
      <w:jc w:val="right"/>
      <w:textAlignment w:val="baseline"/>
    </w:pPr>
    <w:rPr>
      <w:rFonts w:ascii="Arial" w:eastAsia="Batang" w:hAnsi="Arial"/>
      <w:noProof/>
      <w:sz w:val="40"/>
      <w:lang w:val="en-GB" w:eastAsia="ja-JP"/>
    </w:rPr>
  </w:style>
  <w:style w:type="paragraph" w:customStyle="1" w:styleId="ZB">
    <w:name w:val="ZB"/>
    <w:rsid w:val="00AF2E61"/>
    <w:pPr>
      <w:framePr w:w="10206" w:h="284" w:hRule="exact" w:wrap="notBeside" w:vAnchor="page" w:hAnchor="margin" w:y="1986"/>
      <w:overflowPunct w:val="0"/>
      <w:autoSpaceDE w:val="0"/>
      <w:autoSpaceDN w:val="0"/>
      <w:adjustRightInd w:val="0"/>
      <w:ind w:right="28"/>
      <w:jc w:val="right"/>
      <w:textAlignment w:val="baseline"/>
    </w:pPr>
    <w:rPr>
      <w:rFonts w:ascii="Arial" w:eastAsia="Batang" w:hAnsi="Arial"/>
      <w:i/>
      <w:noProof/>
      <w:lang w:val="en-GB" w:eastAsia="ja-JP"/>
    </w:rPr>
  </w:style>
  <w:style w:type="paragraph" w:customStyle="1" w:styleId="ZT">
    <w:name w:val="ZT"/>
    <w:rsid w:val="00AF2E61"/>
    <w:pPr>
      <w:framePr w:wrap="notBeside" w:hAnchor="margin" w:yAlign="center"/>
      <w:overflowPunct w:val="0"/>
      <w:autoSpaceDE w:val="0"/>
      <w:autoSpaceDN w:val="0"/>
      <w:adjustRightInd w:val="0"/>
      <w:spacing w:line="240" w:lineRule="atLeast"/>
      <w:jc w:val="right"/>
      <w:textAlignment w:val="baseline"/>
    </w:pPr>
    <w:rPr>
      <w:rFonts w:ascii="Arial" w:eastAsia="Batang" w:hAnsi="Arial"/>
      <w:b/>
      <w:sz w:val="34"/>
      <w:lang w:val="en-GB" w:eastAsia="ja-JP"/>
    </w:rPr>
  </w:style>
  <w:style w:type="paragraph" w:customStyle="1" w:styleId="ZU">
    <w:name w:val="ZU"/>
    <w:rsid w:val="00AF2E61"/>
    <w:pPr>
      <w:framePr w:w="10206" w:wrap="notBeside" w:vAnchor="page" w:hAnchor="margin" w:y="6238"/>
      <w:pBdr>
        <w:top w:val="single" w:sz="12" w:space="1" w:color="auto"/>
      </w:pBdr>
      <w:overflowPunct w:val="0"/>
      <w:autoSpaceDE w:val="0"/>
      <w:autoSpaceDN w:val="0"/>
      <w:adjustRightInd w:val="0"/>
      <w:jc w:val="right"/>
      <w:textAlignment w:val="baseline"/>
    </w:pPr>
    <w:rPr>
      <w:rFonts w:ascii="Arial" w:eastAsia="Batang" w:hAnsi="Arial"/>
      <w:noProof/>
      <w:lang w:val="en-GB" w:eastAsia="ja-JP"/>
    </w:rPr>
  </w:style>
  <w:style w:type="paragraph" w:customStyle="1" w:styleId="TAN">
    <w:name w:val="TAN"/>
    <w:basedOn w:val="TAL"/>
    <w:link w:val="TANChar"/>
    <w:qFormat/>
    <w:rsid w:val="00AF2E61"/>
    <w:pPr>
      <w:ind w:left="851" w:hanging="851"/>
    </w:pPr>
  </w:style>
  <w:style w:type="paragraph" w:customStyle="1" w:styleId="ZH">
    <w:name w:val="ZH"/>
    <w:rsid w:val="00AF2E61"/>
    <w:pPr>
      <w:framePr w:wrap="notBeside" w:vAnchor="page" w:hAnchor="margin" w:xAlign="center" w:y="6805"/>
      <w:overflowPunct w:val="0"/>
      <w:autoSpaceDE w:val="0"/>
      <w:autoSpaceDN w:val="0"/>
      <w:adjustRightInd w:val="0"/>
      <w:textAlignment w:val="baseline"/>
    </w:pPr>
    <w:rPr>
      <w:rFonts w:ascii="Arial" w:eastAsia="Batang" w:hAnsi="Arial"/>
      <w:noProof/>
      <w:lang w:val="en-GB" w:eastAsia="ja-JP"/>
    </w:rPr>
  </w:style>
  <w:style w:type="paragraph" w:customStyle="1" w:styleId="TF">
    <w:name w:val="TF"/>
    <w:basedOn w:val="TH"/>
    <w:link w:val="TFChar"/>
    <w:rsid w:val="00AF2E61"/>
    <w:pPr>
      <w:keepNext w:val="0"/>
      <w:spacing w:before="0" w:after="240"/>
    </w:pPr>
  </w:style>
  <w:style w:type="character" w:customStyle="1" w:styleId="TFChar">
    <w:name w:val="TF Char"/>
    <w:link w:val="TF"/>
    <w:rsid w:val="00AF2E61"/>
    <w:rPr>
      <w:rFonts w:eastAsia="Batang"/>
      <w:b/>
      <w:lang w:val="en-GB" w:eastAsia="ja-JP"/>
    </w:rPr>
  </w:style>
  <w:style w:type="paragraph" w:customStyle="1" w:styleId="ZG">
    <w:name w:val="ZG"/>
    <w:rsid w:val="00AF2E61"/>
    <w:pPr>
      <w:framePr w:wrap="notBeside" w:vAnchor="page" w:hAnchor="margin" w:xAlign="right" w:y="6805"/>
      <w:overflowPunct w:val="0"/>
      <w:autoSpaceDE w:val="0"/>
      <w:autoSpaceDN w:val="0"/>
      <w:adjustRightInd w:val="0"/>
      <w:jc w:val="right"/>
      <w:textAlignment w:val="baseline"/>
    </w:pPr>
    <w:rPr>
      <w:rFonts w:ascii="Arial" w:eastAsia="Batang" w:hAnsi="Arial"/>
      <w:noProof/>
      <w:lang w:val="en-GB" w:eastAsia="ja-JP"/>
    </w:rPr>
  </w:style>
  <w:style w:type="paragraph" w:styleId="31">
    <w:name w:val="List Bullet 3"/>
    <w:basedOn w:val="24"/>
    <w:rsid w:val="00AF2E61"/>
    <w:pPr>
      <w:ind w:left="1135"/>
    </w:pPr>
  </w:style>
  <w:style w:type="paragraph" w:styleId="25">
    <w:name w:val="List 2"/>
    <w:basedOn w:val="a8"/>
    <w:rsid w:val="00AF2E61"/>
    <w:pPr>
      <w:widowControl/>
      <w:overflowPunct w:val="0"/>
      <w:spacing w:after="180"/>
      <w:ind w:left="851" w:hanging="284"/>
      <w:jc w:val="left"/>
      <w:textAlignment w:val="baseline"/>
    </w:pPr>
    <w:rPr>
      <w:rFonts w:eastAsia="Batang"/>
      <w:sz w:val="20"/>
      <w:szCs w:val="20"/>
      <w:lang w:eastAsia="ja-JP"/>
    </w:rPr>
  </w:style>
  <w:style w:type="paragraph" w:styleId="32">
    <w:name w:val="List 3"/>
    <w:basedOn w:val="25"/>
    <w:rsid w:val="00AF2E61"/>
    <w:pPr>
      <w:ind w:left="1135"/>
    </w:pPr>
  </w:style>
  <w:style w:type="paragraph" w:styleId="41">
    <w:name w:val="List 4"/>
    <w:basedOn w:val="32"/>
    <w:rsid w:val="00AF2E61"/>
    <w:pPr>
      <w:ind w:left="1418"/>
    </w:pPr>
  </w:style>
  <w:style w:type="paragraph" w:styleId="51">
    <w:name w:val="List 5"/>
    <w:basedOn w:val="41"/>
    <w:rsid w:val="00AF2E61"/>
    <w:pPr>
      <w:ind w:left="1702"/>
    </w:pPr>
  </w:style>
  <w:style w:type="paragraph" w:styleId="42">
    <w:name w:val="List Bullet 4"/>
    <w:basedOn w:val="31"/>
    <w:rsid w:val="00AF2E61"/>
    <w:pPr>
      <w:ind w:left="1418"/>
    </w:pPr>
  </w:style>
  <w:style w:type="paragraph" w:styleId="52">
    <w:name w:val="List Bullet 5"/>
    <w:basedOn w:val="42"/>
    <w:rsid w:val="00AF2E61"/>
    <w:pPr>
      <w:ind w:left="1702"/>
    </w:pPr>
  </w:style>
  <w:style w:type="paragraph" w:customStyle="1" w:styleId="B2">
    <w:name w:val="B2"/>
    <w:basedOn w:val="25"/>
    <w:rsid w:val="00AF2E61"/>
  </w:style>
  <w:style w:type="paragraph" w:customStyle="1" w:styleId="B30">
    <w:name w:val="B3"/>
    <w:basedOn w:val="32"/>
    <w:rsid w:val="00AF2E61"/>
  </w:style>
  <w:style w:type="paragraph" w:customStyle="1" w:styleId="B4">
    <w:name w:val="B4"/>
    <w:basedOn w:val="41"/>
    <w:rsid w:val="00AF2E61"/>
  </w:style>
  <w:style w:type="paragraph" w:customStyle="1" w:styleId="B5">
    <w:name w:val="B5"/>
    <w:basedOn w:val="51"/>
    <w:rsid w:val="00AF2E61"/>
  </w:style>
  <w:style w:type="paragraph" w:customStyle="1" w:styleId="ZTD">
    <w:name w:val="ZTD"/>
    <w:basedOn w:val="ZB"/>
    <w:rsid w:val="00AF2E61"/>
    <w:pPr>
      <w:framePr w:hRule="auto" w:wrap="notBeside" w:y="852"/>
    </w:pPr>
    <w:rPr>
      <w:i w:val="0"/>
      <w:sz w:val="40"/>
    </w:rPr>
  </w:style>
  <w:style w:type="paragraph" w:customStyle="1" w:styleId="ZV">
    <w:name w:val="ZV"/>
    <w:basedOn w:val="ZU"/>
    <w:rsid w:val="00AF2E61"/>
    <w:pPr>
      <w:framePr w:wrap="notBeside" w:y="16161"/>
    </w:pPr>
  </w:style>
  <w:style w:type="paragraph" w:styleId="af8">
    <w:name w:val="index heading"/>
    <w:basedOn w:val="a"/>
    <w:next w:val="a"/>
    <w:semiHidden/>
    <w:rsid w:val="00AF2E61"/>
    <w:pPr>
      <w:widowControl/>
      <w:pBdr>
        <w:top w:val="single" w:sz="12" w:space="0" w:color="auto"/>
      </w:pBdr>
      <w:overflowPunct w:val="0"/>
      <w:spacing w:before="360" w:after="240"/>
      <w:jc w:val="left"/>
      <w:textAlignment w:val="baseline"/>
    </w:pPr>
    <w:rPr>
      <w:rFonts w:eastAsia="Batang"/>
      <w:b/>
      <w:i/>
      <w:sz w:val="26"/>
      <w:szCs w:val="20"/>
      <w:lang w:eastAsia="ja-JP"/>
    </w:rPr>
  </w:style>
  <w:style w:type="paragraph" w:customStyle="1" w:styleId="INDENT1">
    <w:name w:val="INDENT1"/>
    <w:basedOn w:val="a"/>
    <w:rsid w:val="00AF2E61"/>
    <w:pPr>
      <w:widowControl/>
      <w:overflowPunct w:val="0"/>
      <w:spacing w:after="180"/>
      <w:ind w:left="851"/>
      <w:jc w:val="left"/>
      <w:textAlignment w:val="baseline"/>
    </w:pPr>
    <w:rPr>
      <w:rFonts w:eastAsia="Batang"/>
      <w:sz w:val="20"/>
      <w:szCs w:val="20"/>
      <w:lang w:eastAsia="ja-JP"/>
    </w:rPr>
  </w:style>
  <w:style w:type="paragraph" w:customStyle="1" w:styleId="INDENT2">
    <w:name w:val="INDENT2"/>
    <w:basedOn w:val="a"/>
    <w:rsid w:val="00AF2E61"/>
    <w:pPr>
      <w:widowControl/>
      <w:overflowPunct w:val="0"/>
      <w:spacing w:after="180"/>
      <w:ind w:left="1135" w:hanging="284"/>
      <w:jc w:val="left"/>
      <w:textAlignment w:val="baseline"/>
    </w:pPr>
    <w:rPr>
      <w:rFonts w:eastAsia="Batang"/>
      <w:sz w:val="20"/>
      <w:szCs w:val="20"/>
      <w:lang w:eastAsia="ja-JP"/>
    </w:rPr>
  </w:style>
  <w:style w:type="paragraph" w:customStyle="1" w:styleId="INDENT3">
    <w:name w:val="INDENT3"/>
    <w:basedOn w:val="a"/>
    <w:rsid w:val="00AF2E61"/>
    <w:pPr>
      <w:widowControl/>
      <w:overflowPunct w:val="0"/>
      <w:spacing w:after="180"/>
      <w:ind w:left="1701" w:hanging="567"/>
      <w:jc w:val="left"/>
      <w:textAlignment w:val="baseline"/>
    </w:pPr>
    <w:rPr>
      <w:rFonts w:eastAsia="Batang"/>
      <w:sz w:val="20"/>
      <w:szCs w:val="20"/>
      <w:lang w:eastAsia="ja-JP"/>
    </w:rPr>
  </w:style>
  <w:style w:type="paragraph" w:customStyle="1" w:styleId="FigureTitle">
    <w:name w:val="Figure_Title"/>
    <w:basedOn w:val="a"/>
    <w:next w:val="a"/>
    <w:rsid w:val="00AF2E61"/>
    <w:pPr>
      <w:keepLines/>
      <w:widowControl/>
      <w:tabs>
        <w:tab w:val="left" w:pos="794"/>
        <w:tab w:val="left" w:pos="1191"/>
        <w:tab w:val="left" w:pos="1588"/>
        <w:tab w:val="left" w:pos="1985"/>
      </w:tabs>
      <w:overflowPunct w:val="0"/>
      <w:spacing w:before="120" w:after="480"/>
      <w:jc w:val="center"/>
      <w:textAlignment w:val="baseline"/>
    </w:pPr>
    <w:rPr>
      <w:rFonts w:eastAsia="Batang"/>
      <w:b/>
      <w:sz w:val="24"/>
      <w:szCs w:val="20"/>
      <w:lang w:eastAsia="ja-JP"/>
    </w:rPr>
  </w:style>
  <w:style w:type="paragraph" w:customStyle="1" w:styleId="RecCCITT">
    <w:name w:val="Rec_CCITT_#"/>
    <w:basedOn w:val="a"/>
    <w:rsid w:val="00AF2E61"/>
    <w:pPr>
      <w:keepNext/>
      <w:keepLines/>
      <w:widowControl/>
      <w:overflowPunct w:val="0"/>
      <w:spacing w:after="180"/>
      <w:jc w:val="left"/>
      <w:textAlignment w:val="baseline"/>
    </w:pPr>
    <w:rPr>
      <w:rFonts w:eastAsia="Batang"/>
      <w:b/>
      <w:sz w:val="20"/>
      <w:szCs w:val="20"/>
      <w:lang w:eastAsia="ja-JP"/>
    </w:rPr>
  </w:style>
  <w:style w:type="paragraph" w:customStyle="1" w:styleId="enumlev2">
    <w:name w:val="enumlev2"/>
    <w:basedOn w:val="a"/>
    <w:rsid w:val="00AF2E61"/>
    <w:pPr>
      <w:widowControl/>
      <w:tabs>
        <w:tab w:val="left" w:pos="794"/>
        <w:tab w:val="left" w:pos="1191"/>
        <w:tab w:val="left" w:pos="1588"/>
        <w:tab w:val="left" w:pos="1985"/>
      </w:tabs>
      <w:overflowPunct w:val="0"/>
      <w:spacing w:before="86" w:after="180"/>
      <w:ind w:left="1588" w:hanging="397"/>
      <w:textAlignment w:val="baseline"/>
    </w:pPr>
    <w:rPr>
      <w:rFonts w:eastAsia="Batang"/>
      <w:sz w:val="20"/>
      <w:szCs w:val="20"/>
      <w:lang w:eastAsia="ja-JP"/>
    </w:rPr>
  </w:style>
  <w:style w:type="paragraph" w:customStyle="1" w:styleId="CouvRecTitle">
    <w:name w:val="Couv Rec Title"/>
    <w:basedOn w:val="a"/>
    <w:rsid w:val="00AF2E61"/>
    <w:pPr>
      <w:keepNext/>
      <w:keepLines/>
      <w:widowControl/>
      <w:overflowPunct w:val="0"/>
      <w:spacing w:before="240" w:after="180"/>
      <w:ind w:left="1418"/>
      <w:jc w:val="left"/>
      <w:textAlignment w:val="baseline"/>
    </w:pPr>
    <w:rPr>
      <w:rFonts w:ascii="Arial" w:eastAsia="Batang" w:hAnsi="Arial"/>
      <w:b/>
      <w:sz w:val="36"/>
      <w:szCs w:val="20"/>
      <w:lang w:eastAsia="ja-JP"/>
    </w:rPr>
  </w:style>
  <w:style w:type="paragraph" w:styleId="af9">
    <w:name w:val="Plain Text"/>
    <w:basedOn w:val="a"/>
    <w:rsid w:val="00AF2E61"/>
    <w:pPr>
      <w:widowControl/>
      <w:overflowPunct w:val="0"/>
      <w:spacing w:after="180"/>
      <w:jc w:val="left"/>
      <w:textAlignment w:val="baseline"/>
    </w:pPr>
    <w:rPr>
      <w:rFonts w:ascii="Courier New" w:eastAsia="Batang" w:hAnsi="Courier New"/>
      <w:sz w:val="20"/>
      <w:szCs w:val="20"/>
      <w:lang w:val="nb-NO" w:eastAsia="ja-JP"/>
    </w:rPr>
  </w:style>
  <w:style w:type="paragraph" w:customStyle="1" w:styleId="TAJ">
    <w:name w:val="TAJ"/>
    <w:basedOn w:val="TH"/>
    <w:rsid w:val="00AF2E61"/>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4"/>
    <w:rsid w:val="00AF2E61"/>
    <w:rPr>
      <w:lang w:val="en-GB" w:eastAsia="en-US"/>
    </w:rPr>
  </w:style>
  <w:style w:type="paragraph" w:customStyle="1" w:styleId="Guidance">
    <w:name w:val="Guidance"/>
    <w:basedOn w:val="a"/>
    <w:rsid w:val="00AF2E61"/>
    <w:pPr>
      <w:widowControl/>
      <w:overflowPunct w:val="0"/>
      <w:spacing w:after="180"/>
      <w:jc w:val="left"/>
      <w:textAlignment w:val="baseline"/>
    </w:pPr>
    <w:rPr>
      <w:rFonts w:eastAsia="Batang"/>
      <w:i/>
      <w:color w:val="0000FF"/>
      <w:sz w:val="20"/>
      <w:szCs w:val="20"/>
      <w:lang w:eastAsia="ja-JP"/>
    </w:rPr>
  </w:style>
  <w:style w:type="paragraph" w:customStyle="1" w:styleId="TableText">
    <w:name w:val="TableText"/>
    <w:basedOn w:val="af1"/>
    <w:rsid w:val="00AF2E61"/>
    <w:pPr>
      <w:keepNext/>
      <w:keepLines/>
      <w:widowControl/>
      <w:overflowPunct w:val="0"/>
      <w:spacing w:after="180"/>
      <w:ind w:leftChars="0" w:left="0"/>
      <w:jc w:val="center"/>
      <w:textAlignment w:val="baseline"/>
    </w:pPr>
    <w:rPr>
      <w:rFonts w:eastAsia="Batang"/>
      <w:snapToGrid w:val="0"/>
      <w:kern w:val="2"/>
      <w:sz w:val="20"/>
      <w:szCs w:val="20"/>
    </w:rPr>
  </w:style>
  <w:style w:type="paragraph" w:styleId="33">
    <w:name w:val="Body Text 3"/>
    <w:basedOn w:val="a"/>
    <w:rsid w:val="00AF2E61"/>
    <w:pPr>
      <w:keepNext/>
      <w:keepLines/>
      <w:widowControl/>
      <w:overflowPunct w:val="0"/>
      <w:spacing w:after="180"/>
      <w:jc w:val="left"/>
      <w:textAlignment w:val="baseline"/>
    </w:pPr>
    <w:rPr>
      <w:rFonts w:eastAsia="Osaka"/>
      <w:color w:val="000000"/>
      <w:sz w:val="20"/>
      <w:szCs w:val="20"/>
      <w:lang w:eastAsia="ja-JP"/>
    </w:rPr>
  </w:style>
  <w:style w:type="paragraph" w:customStyle="1" w:styleId="CRCoverPage">
    <w:name w:val="CR Cover Page"/>
    <w:next w:val="a"/>
    <w:rsid w:val="00AF2E61"/>
    <w:rPr>
      <w:rFonts w:ascii="Arial" w:eastAsia="Batang" w:hAnsi="Arial"/>
      <w:lang w:val="en-GB" w:eastAsia="en-US"/>
    </w:rPr>
  </w:style>
  <w:style w:type="character" w:styleId="afa">
    <w:name w:val="page number"/>
    <w:basedOn w:val="a0"/>
    <w:rsid w:val="00AF2E61"/>
  </w:style>
  <w:style w:type="paragraph" w:customStyle="1" w:styleId="Figure">
    <w:name w:val="Figure"/>
    <w:basedOn w:val="a"/>
    <w:rsid w:val="00AF2E61"/>
    <w:pPr>
      <w:widowControl/>
      <w:tabs>
        <w:tab w:val="num" w:pos="1440"/>
      </w:tabs>
      <w:autoSpaceDE/>
      <w:autoSpaceDN/>
      <w:adjustRightInd/>
      <w:spacing w:before="180" w:after="240" w:line="280" w:lineRule="atLeast"/>
      <w:ind w:left="720" w:hanging="360"/>
      <w:jc w:val="center"/>
    </w:pPr>
    <w:rPr>
      <w:rFonts w:ascii="Arial" w:eastAsia="Batang" w:hAnsi="Arial"/>
      <w:b/>
      <w:sz w:val="20"/>
      <w:szCs w:val="20"/>
      <w:lang w:eastAsia="ja-JP"/>
    </w:rPr>
  </w:style>
  <w:style w:type="paragraph" w:customStyle="1" w:styleId="tdoc-header">
    <w:name w:val="tdoc-header"/>
    <w:rsid w:val="00AF2E61"/>
    <w:rPr>
      <w:rFonts w:ascii="Arial" w:eastAsia="Batang" w:hAnsi="Arial"/>
      <w:noProof/>
      <w:sz w:val="24"/>
      <w:lang w:val="en-GB" w:eastAsia="en-US"/>
    </w:rPr>
  </w:style>
  <w:style w:type="paragraph" w:customStyle="1" w:styleId="MTDisplayEquation">
    <w:name w:val="MTDisplayEquation"/>
    <w:basedOn w:val="a"/>
    <w:rsid w:val="00AF2E61"/>
    <w:pPr>
      <w:widowControl/>
      <w:tabs>
        <w:tab w:val="center" w:pos="4820"/>
        <w:tab w:val="right" w:pos="9640"/>
      </w:tabs>
      <w:autoSpaceDE/>
      <w:autoSpaceDN/>
      <w:adjustRightInd/>
      <w:spacing w:after="180"/>
      <w:jc w:val="left"/>
    </w:pPr>
    <w:rPr>
      <w:rFonts w:eastAsia="Batang"/>
      <w:sz w:val="20"/>
      <w:szCs w:val="20"/>
      <w:lang w:eastAsia="ja-JP"/>
    </w:rPr>
  </w:style>
  <w:style w:type="table" w:customStyle="1" w:styleId="TableGrid1">
    <w:name w:val="Table Grid1"/>
    <w:basedOn w:val="a1"/>
    <w:next w:val="ad"/>
    <w:rsid w:val="00AF2E61"/>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msoins0">
    <w:name w:val="msoins"/>
    <w:basedOn w:val="a0"/>
    <w:rsid w:val="00AF2E61"/>
  </w:style>
  <w:style w:type="paragraph" w:customStyle="1" w:styleId="CharChar">
    <w:name w:val="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Char2">
    <w:name w:val="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TALCar">
    <w:name w:val="TAL Car"/>
    <w:link w:val="TAL"/>
    <w:qFormat/>
    <w:rsid w:val="00AF2E61"/>
    <w:rPr>
      <w:rFonts w:eastAsia="Batang"/>
      <w:sz w:val="18"/>
      <w:lang w:val="en-GB" w:eastAsia="ja-JP"/>
    </w:rPr>
  </w:style>
  <w:style w:type="paragraph" w:customStyle="1" w:styleId="CharCharChar">
    <w:name w:val="Char Char Char"/>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Char1">
    <w:name w:val="Char Char1"/>
    <w:rsid w:val="00AF2E61"/>
    <w:rPr>
      <w:lang w:val="en-GB" w:eastAsia="ja-JP"/>
    </w:rPr>
  </w:style>
  <w:style w:type="paragraph" w:customStyle="1" w:styleId="Data">
    <w:name w:val="Data"/>
    <w:basedOn w:val="a"/>
    <w:rsid w:val="00AF2E61"/>
    <w:pPr>
      <w:widowControl/>
      <w:tabs>
        <w:tab w:val="left" w:pos="1418"/>
      </w:tabs>
      <w:overflowPunct w:val="0"/>
      <w:jc w:val="left"/>
      <w:textAlignment w:val="baseline"/>
    </w:pPr>
    <w:rPr>
      <w:rFonts w:ascii="Arial" w:eastAsia="MS Mincho" w:hAnsi="Arial"/>
      <w:sz w:val="24"/>
      <w:szCs w:val="20"/>
      <w:lang w:val="fr-FR"/>
    </w:rPr>
  </w:style>
  <w:style w:type="paragraph" w:customStyle="1" w:styleId="p20">
    <w:name w:val="p20"/>
    <w:basedOn w:val="a"/>
    <w:rsid w:val="00AF2E61"/>
    <w:pPr>
      <w:widowControl/>
      <w:autoSpaceDE/>
      <w:autoSpaceDN/>
      <w:adjustRightInd/>
      <w:snapToGrid w:val="0"/>
      <w:spacing w:after="0"/>
      <w:jc w:val="left"/>
      <w:textAlignment w:val="baseline"/>
    </w:pPr>
    <w:rPr>
      <w:rFonts w:ascii="Arial" w:hAnsi="Arial" w:cs="Arial"/>
      <w:sz w:val="18"/>
      <w:szCs w:val="18"/>
      <w:lang w:eastAsia="zh-CN"/>
    </w:rPr>
  </w:style>
  <w:style w:type="paragraph" w:customStyle="1" w:styleId="1Char0">
    <w:name w:val="(文字) (文字)1 Char (文字) (文字)"/>
    <w:semiHidden/>
    <w:rsid w:val="00AF2E61"/>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paragraph" w:customStyle="1" w:styleId="ATC">
    <w:name w:val="ATC"/>
    <w:basedOn w:val="a"/>
    <w:rsid w:val="00AF2E61"/>
    <w:pPr>
      <w:widowControl/>
      <w:overflowPunct w:val="0"/>
      <w:spacing w:after="180"/>
      <w:jc w:val="left"/>
      <w:textAlignment w:val="baseline"/>
    </w:pPr>
    <w:rPr>
      <w:rFonts w:eastAsia="Batang"/>
      <w:sz w:val="20"/>
      <w:szCs w:val="20"/>
      <w:lang w:eastAsia="ja-JP"/>
    </w:rPr>
  </w:style>
  <w:style w:type="character" w:customStyle="1" w:styleId="TANChar">
    <w:name w:val="TAN Char"/>
    <w:link w:val="TAN"/>
    <w:qFormat/>
    <w:rsid w:val="00E44EF5"/>
    <w:rPr>
      <w:rFonts w:eastAsia="Batang"/>
      <w:sz w:val="18"/>
      <w:lang w:val="en-GB" w:eastAsia="ja-JP"/>
    </w:rPr>
  </w:style>
  <w:style w:type="character" w:customStyle="1" w:styleId="TAHCar">
    <w:name w:val="TAH Car"/>
    <w:link w:val="TAH"/>
    <w:qFormat/>
    <w:rsid w:val="00E44EF5"/>
    <w:rPr>
      <w:b/>
      <w:sz w:val="18"/>
      <w:lang w:val="en-GB" w:eastAsia="en-US"/>
    </w:rPr>
  </w:style>
  <w:style w:type="character" w:customStyle="1" w:styleId="TALChar">
    <w:name w:val="TAL Char"/>
    <w:rsid w:val="004B6D0F"/>
    <w:rPr>
      <w:sz w:val="18"/>
      <w:lang w:val="en-GB" w:eastAsia="ja-JP"/>
    </w:rPr>
  </w:style>
  <w:style w:type="table" w:customStyle="1" w:styleId="12">
    <w:name w:val="표 구분선1"/>
    <w:basedOn w:val="a1"/>
    <w:next w:val="ad"/>
    <w:rsid w:val="000245AE"/>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列表段落,リスト段落,¥¡¡¡¡ì¬º¥¹¥È¶ÎÂä,ÁÐ³ö¶ÎÂä,列表段落1,—ño’i—Ž,¥ê¥¹¥È¶ÎÂä,1st level - Bullet List Paragraph,Lettre d'introduction,Paragrafo elenco,Normal bullet 2,Bullet list,목록단락,列,列出段򄏑"/>
    <w:basedOn w:val="a"/>
    <w:link w:val="Char3"/>
    <w:uiPriority w:val="34"/>
    <w:qFormat/>
    <w:rsid w:val="003F7727"/>
    <w:pPr>
      <w:ind w:leftChars="400" w:left="800"/>
    </w:pPr>
  </w:style>
  <w:style w:type="character" w:customStyle="1" w:styleId="B1Char">
    <w:name w:val="B1 Char"/>
    <w:link w:val="B1"/>
    <w:qFormat/>
    <w:locked/>
    <w:rsid w:val="003D6A97"/>
    <w:rPr>
      <w:rFonts w:eastAsia="MS Mincho"/>
      <w:lang w:val="en-GB" w:eastAsia="de-DE"/>
    </w:rPr>
  </w:style>
  <w:style w:type="character" w:customStyle="1" w:styleId="3Char">
    <w:name w:val="제목 3 Char"/>
    <w:aliases w:val="h3 Char,Underrubrik2 Char,H3 Char,Memo Heading 3 Char,no break Char,0H Char,l3 Char,3 Char,list 3 Char,Head 3 Char,1.1.1 Char,3rd level Char,Major Section Sub Section Char,PA Minor Section Char,Head3 Char,Level 3 Head Char,31 Char,32 Char"/>
    <w:link w:val="3"/>
    <w:rsid w:val="00AC2DF0"/>
    <w:rPr>
      <w:sz w:val="22"/>
      <w:szCs w:val="22"/>
      <w:lang w:val="en-GB" w:eastAsia="en-US"/>
    </w:rPr>
  </w:style>
  <w:style w:type="paragraph" w:customStyle="1" w:styleId="LGTdoc">
    <w:name w:val="LGTdoc_본문"/>
    <w:basedOn w:val="a"/>
    <w:rsid w:val="0095104B"/>
    <w:pPr>
      <w:snapToGrid w:val="0"/>
      <w:spacing w:afterLines="50" w:line="264" w:lineRule="auto"/>
    </w:pPr>
    <w:rPr>
      <w:rFonts w:eastAsia="Batang"/>
      <w:kern w:val="2"/>
      <w:szCs w:val="24"/>
      <w:lang w:eastAsia="ko-KR"/>
    </w:rPr>
  </w:style>
  <w:style w:type="character" w:customStyle="1" w:styleId="1Char">
    <w:name w:val="제목 1 Char"/>
    <w:aliases w:val="h1 Char,h11 Char,h12 Char,h13 Char,h14 Char,h15 Char,h16 Char,h17 Char,h111 Char,h121 Char,h131 Char,h141 Char,h151 Char,h161 Char,h18 Char,h112 Char,h122 Char,h132 Char,h142 Char,h152 Char,h162 Char,h19 Char,h113 Char,h123 Char,h133 Char"/>
    <w:link w:val="1"/>
    <w:rsid w:val="00BB4C04"/>
    <w:rPr>
      <w:b/>
      <w:bCs/>
      <w:sz w:val="28"/>
      <w:szCs w:val="28"/>
      <w:lang w:val="en-GB" w:eastAsia="en-US"/>
    </w:rPr>
  </w:style>
  <w:style w:type="character" w:customStyle="1" w:styleId="EQChar">
    <w:name w:val="EQ Char"/>
    <w:link w:val="EQ"/>
    <w:rsid w:val="0055290F"/>
    <w:rPr>
      <w:rFonts w:eastAsia="MS Mincho"/>
      <w:noProof/>
      <w:lang w:val="en-GB" w:eastAsia="en-US"/>
    </w:rPr>
  </w:style>
  <w:style w:type="paragraph" w:styleId="43">
    <w:name w:val="List Number 4"/>
    <w:basedOn w:val="a"/>
    <w:rsid w:val="000C4924"/>
    <w:pPr>
      <w:widowControl/>
      <w:tabs>
        <w:tab w:val="num" w:pos="720"/>
        <w:tab w:val="num" w:pos="1209"/>
      </w:tabs>
      <w:overflowPunct w:val="0"/>
      <w:spacing w:after="180"/>
      <w:ind w:left="1209" w:hanging="360"/>
      <w:jc w:val="left"/>
      <w:textAlignment w:val="baseline"/>
    </w:pPr>
    <w:rPr>
      <w:rFonts w:eastAsia="MS Mincho"/>
      <w:sz w:val="20"/>
      <w:szCs w:val="20"/>
      <w:lang w:eastAsia="en-GB"/>
    </w:rPr>
  </w:style>
  <w:style w:type="paragraph" w:customStyle="1" w:styleId="CharCharCharCharChar1">
    <w:name w:val="Char Char Char Char Char1"/>
    <w:semiHidden/>
    <w:rsid w:val="00EB0190"/>
    <w:pPr>
      <w:keepNext/>
      <w:tabs>
        <w:tab w:val="num" w:pos="851"/>
      </w:tabs>
      <w:autoSpaceDE w:val="0"/>
      <w:autoSpaceDN w:val="0"/>
      <w:adjustRightInd w:val="0"/>
      <w:spacing w:before="60" w:after="60"/>
      <w:ind w:left="851" w:hanging="851"/>
    </w:pPr>
    <w:rPr>
      <w:rFonts w:ascii="Arial" w:hAnsi="Arial" w:cs="Arial"/>
      <w:color w:val="0000FF"/>
      <w:kern w:val="2"/>
      <w:lang w:eastAsia="zh-CN"/>
    </w:rPr>
  </w:style>
  <w:style w:type="character" w:customStyle="1" w:styleId="Char1">
    <w:name w:val="머리글 Char"/>
    <w:aliases w:val="header odd Char,header Char,header odd1 Char,header odd2 Char,header odd3 Char,header odd4 Char,header odd5 Char,header odd6 Char,header1 Char,header2 Char,header3 Char,header odd11 Char,header odd21 Char,header odd7 Char,header4 Char"/>
    <w:link w:val="af5"/>
    <w:locked/>
    <w:rsid w:val="001646D0"/>
    <w:rPr>
      <w:rFonts w:eastAsia="Dotum"/>
      <w:kern w:val="2"/>
      <w:szCs w:val="24"/>
    </w:rPr>
  </w:style>
  <w:style w:type="character" w:customStyle="1" w:styleId="TACCar">
    <w:name w:val="TAC Car"/>
    <w:qFormat/>
    <w:rsid w:val="004843DB"/>
    <w:rPr>
      <w:rFonts w:ascii="Arial" w:eastAsia="Times New Roman" w:hAnsi="Arial"/>
      <w:sz w:val="18"/>
    </w:rPr>
  </w:style>
  <w:style w:type="character" w:customStyle="1" w:styleId="Char3">
    <w:name w:val="목록 단락 Char"/>
    <w:aliases w:val="- Bullets Char,?? ?? Char,????? Char,???? Char,Lista1 Char,中等深浅网格 1 - 着色 21 Char,列表段落 Char,リスト段落 Char,¥¡¡¡¡ì¬º¥¹¥È¶ÎÂä Char,ÁÐ³ö¶ÎÂä Char,列表段落1 Char,—ño’i—Ž Char,¥ê¥¹¥È¶ÎÂä Char,1st level - Bullet List Paragraph Char,Paragrafo elenco Char"/>
    <w:link w:val="afb"/>
    <w:uiPriority w:val="34"/>
    <w:qFormat/>
    <w:rsid w:val="003D79A2"/>
    <w:rPr>
      <w:sz w:val="22"/>
      <w:szCs w:val="22"/>
      <w:lang w:val="en-GB" w:eastAsia="en-US"/>
    </w:rPr>
  </w:style>
  <w:style w:type="character" w:styleId="afc">
    <w:name w:val="Unresolved Mention"/>
    <w:basedOn w:val="a0"/>
    <w:uiPriority w:val="99"/>
    <w:semiHidden/>
    <w:unhideWhenUsed/>
    <w:rsid w:val="00306328"/>
    <w:rPr>
      <w:color w:val="605E5C"/>
      <w:shd w:val="clear" w:color="auto" w:fill="E1DFDD"/>
    </w:rPr>
  </w:style>
  <w:style w:type="paragraph" w:styleId="afd">
    <w:name w:val="Revision"/>
    <w:hidden/>
    <w:uiPriority w:val="99"/>
    <w:semiHidden/>
    <w:rsid w:val="00692437"/>
    <w:rPr>
      <w:lang w:eastAsia="en-US"/>
    </w:rPr>
  </w:style>
  <w:style w:type="character" w:customStyle="1" w:styleId="contentpasted3">
    <w:name w:val="contentpasted3"/>
    <w:basedOn w:val="a0"/>
    <w:rsid w:val="00430034"/>
  </w:style>
  <w:style w:type="character" w:styleId="afe">
    <w:name w:val="Strong"/>
    <w:basedOn w:val="a0"/>
    <w:uiPriority w:val="22"/>
    <w:qFormat/>
    <w:rsid w:val="00A3452E"/>
    <w:rPr>
      <w:b/>
      <w:bCs/>
    </w:rPr>
  </w:style>
  <w:style w:type="character" w:styleId="aff">
    <w:name w:val="Emphasis"/>
    <w:uiPriority w:val="20"/>
    <w:qFormat/>
    <w:rsid w:val="007861F0"/>
    <w:rPr>
      <w:i/>
      <w:iCs/>
    </w:rPr>
  </w:style>
  <w:style w:type="paragraph" w:styleId="aff0">
    <w:name w:val="Subtitle"/>
    <w:basedOn w:val="Normal"/>
    <w:next w:val="Normal"/>
    <w:uiPriority w:val="11"/>
    <w:qFormat/>
    <w:pPr>
      <w:keepNext/>
      <w:keepLines/>
      <w:pBdr>
        <w:top w:val="nil"/>
        <w:left w:val="nil"/>
        <w:bottom w:val="nil"/>
        <w:right w:val="nil"/>
        <w:between w:val="nil"/>
      </w:pBdr>
      <w:spacing w:before="360" w:after="80" w:line="240" w:lineRule="auto"/>
    </w:pPr>
    <w:rPr>
      <w:rFonts w:ascii="Georgia" w:eastAsia="Georgia" w:hAnsi="Georgia" w:cs="Georgia"/>
      <w:i/>
      <w:color w:val="666666"/>
      <w:sz w:val="48"/>
      <w:szCs w:val="48"/>
    </w:rPr>
  </w:style>
  <w:style w:type="table" w:customStyle="1" w:styleId="aff1">
    <w:basedOn w:val="TableNormal0"/>
    <w:pPr>
      <w:spacing w:after="180"/>
    </w:pPr>
    <w:tblPr>
      <w:tblStyleRowBandSize w:val="1"/>
      <w:tblStyleColBandSize w:val="1"/>
      <w:tblCellMar>
        <w:left w:w="108" w:type="dxa"/>
        <w:right w:w="108" w:type="dxa"/>
      </w:tblCellMar>
    </w:tblPr>
  </w:style>
  <w:style w:type="paragraph" w:customStyle="1" w:styleId="B3">
    <w:name w:val="B3+"/>
    <w:basedOn w:val="B30"/>
    <w:qFormat/>
    <w:rsid w:val="00202A9B"/>
    <w:pPr>
      <w:numPr>
        <w:numId w:val="8"/>
      </w:numPr>
      <w:tabs>
        <w:tab w:val="left" w:pos="1134"/>
        <w:tab w:val="num" w:pos="1191"/>
      </w:tabs>
      <w:ind w:left="1191" w:hanging="454"/>
    </w:pPr>
    <w:rPr>
      <w:rFonts w:eastAsia="MS Mincho"/>
      <w:lang w:val="en-GB" w:eastAsia="en-GB"/>
    </w:rPr>
  </w:style>
  <w:style w:type="table" w:customStyle="1" w:styleId="aff2">
    <w:basedOn w:val="TableNormal0"/>
    <w:pPr>
      <w:spacing w:after="180"/>
    </w:pPr>
    <w:tblPr>
      <w:tblStyleRowBandSize w:val="1"/>
      <w:tblStyleColBandSize w:val="1"/>
      <w:tblCellMar>
        <w:left w:w="108" w:type="dxa"/>
        <w:right w:w="108" w:type="dxa"/>
      </w:tblCellMar>
    </w:tblPr>
  </w:style>
  <w:style w:type="table" w:customStyle="1" w:styleId="aff3">
    <w:basedOn w:val="TableNormal0"/>
    <w:tblPr>
      <w:tblStyleRowBandSize w:val="1"/>
      <w:tblStyleColBandSize w:val="1"/>
      <w:tblCellMar>
        <w:left w:w="115" w:type="dxa"/>
        <w:right w:w="115" w:type="dxa"/>
      </w:tblCellMar>
    </w:tblPr>
  </w:style>
  <w:style w:type="table" w:customStyle="1" w:styleId="aff4">
    <w:basedOn w:val="TableNormal0"/>
    <w:tblPr>
      <w:tblStyleRowBandSize w:val="1"/>
      <w:tblStyleColBandSize w:val="1"/>
      <w:tblCellMar>
        <w:left w:w="115" w:type="dxa"/>
        <w:right w:w="115" w:type="dxa"/>
      </w:tblCellMar>
    </w:tblPr>
  </w:style>
  <w:style w:type="table" w:customStyle="1" w:styleId="aff5">
    <w:basedOn w:val="TableNormal0"/>
    <w:pPr>
      <w:spacing w:after="180"/>
    </w:pPr>
    <w:tblPr>
      <w:tblStyleRowBandSize w:val="1"/>
      <w:tblStyleColBandSize w:val="1"/>
      <w:tblCellMar>
        <w:left w:w="108" w:type="dxa"/>
        <w:right w:w="108" w:type="dxa"/>
      </w:tblCellMar>
    </w:tblPr>
  </w:style>
  <w:style w:type="table" w:customStyle="1" w:styleId="aff6">
    <w:basedOn w:val="TableNormal0"/>
    <w:pPr>
      <w:spacing w:after="180"/>
    </w:pPr>
    <w:tblPr>
      <w:tblStyleRowBandSize w:val="1"/>
      <w:tblStyleColBandSize w:val="1"/>
      <w:tblCellMar>
        <w:left w:w="108" w:type="dxa"/>
        <w:right w:w="108" w:type="dxa"/>
      </w:tblCellMar>
    </w:tblPr>
  </w:style>
  <w:style w:type="table" w:customStyle="1" w:styleId="aff7">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vIqUk2qCFxGBekhNpfDzmmbK5AQ==">AMUW2mVCETdLTQSmejWvSXhrsbA78aWJQbXNyPA3FCG+Im7Ue/i/aGkxNlHcxH6pq5kY+NMnaMypYN/v5bLNvSneee+F9Jr10TAQv6y1iN/HK3jmVGSpxpSlfVTBFy6dcwYUBbHv4nuuW3KtyplPmab5d63MWN/Sxg==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6</Pages>
  <Words>1531</Words>
  <Characters>8732</Characters>
  <Application>Microsoft Office Word</Application>
  <DocSecurity>0</DocSecurity>
  <Lines>72</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Facebook</dc:creator>
  <cp:lastModifiedBy>Suhwan Lim</cp:lastModifiedBy>
  <cp:revision>5</cp:revision>
  <dcterms:created xsi:type="dcterms:W3CDTF">2023-04-07T03:43:00Z</dcterms:created>
  <dcterms:modified xsi:type="dcterms:W3CDTF">2023-04-10T06:06:00Z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